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center"/>
        <w:rPr>
          <w:rFonts w:ascii="宋体" w:hAnsi="宋体"/>
          <w:b/>
          <w:sz w:val="32"/>
          <w:szCs w:val="32"/>
        </w:rPr>
      </w:pPr>
      <w:r>
        <w:rPr>
          <w:rFonts w:hint="eastAsia" w:ascii="宋体" w:hAnsi="宋体"/>
          <w:b/>
          <w:sz w:val="32"/>
          <w:szCs w:val="32"/>
        </w:rPr>
        <w:t>材料工程</w:t>
      </w:r>
      <w:r>
        <w:rPr>
          <w:rFonts w:hint="eastAsia" w:ascii="宋体" w:hAnsi="宋体"/>
          <w:sz w:val="24"/>
        </w:rPr>
        <w:t>(化)</w:t>
      </w:r>
      <w:r>
        <w:rPr>
          <w:rFonts w:hint="eastAsia" w:ascii="宋体" w:hAnsi="宋体"/>
          <w:b/>
          <w:sz w:val="32"/>
          <w:szCs w:val="32"/>
        </w:rPr>
        <w:t>领域全日制硕士专业学位研究生培养方案</w:t>
      </w:r>
    </w:p>
    <w:p>
      <w:pPr>
        <w:spacing w:line="400" w:lineRule="exact"/>
        <w:jc w:val="center"/>
        <w:rPr>
          <w:rFonts w:ascii="宋体" w:hAnsi="宋体"/>
          <w:b/>
          <w:sz w:val="32"/>
          <w:szCs w:val="32"/>
        </w:rPr>
      </w:pPr>
    </w:p>
    <w:p>
      <w:pPr>
        <w:numPr>
          <w:ilvl w:val="0"/>
          <w:numId w:val="1"/>
        </w:numPr>
        <w:spacing w:line="400" w:lineRule="exact"/>
        <w:rPr>
          <w:rFonts w:hint="eastAsia" w:ascii="宋体" w:hAnsi="宋体"/>
          <w:b/>
          <w:szCs w:val="21"/>
          <w:lang w:eastAsia="zh-CN"/>
        </w:rPr>
      </w:pPr>
      <w:r>
        <w:rPr>
          <w:rFonts w:hint="eastAsia" w:ascii="宋体" w:hAnsi="宋体"/>
          <w:b/>
          <w:szCs w:val="21"/>
        </w:rPr>
        <w:t>授权领域名称</w:t>
      </w:r>
      <w:r>
        <w:rPr>
          <w:rFonts w:hint="eastAsia" w:ascii="宋体" w:hAnsi="宋体"/>
          <w:b/>
          <w:szCs w:val="21"/>
          <w:lang w:eastAsia="zh-CN"/>
        </w:rPr>
        <w:t>、代码及授权时间</w:t>
      </w:r>
    </w:p>
    <w:p>
      <w:pPr>
        <w:numPr>
          <w:numId w:val="0"/>
        </w:numPr>
        <w:spacing w:line="400" w:lineRule="exact"/>
        <w:ind w:firstLine="420" w:firstLineChars="200"/>
        <w:rPr>
          <w:rFonts w:hint="eastAsia" w:ascii="宋体" w:hAnsi="宋体"/>
          <w:b w:val="0"/>
          <w:bCs/>
          <w:szCs w:val="21"/>
        </w:rPr>
      </w:pPr>
      <w:r>
        <w:rPr>
          <w:rFonts w:hint="eastAsia" w:ascii="宋体" w:hAnsi="宋体"/>
          <w:b w:val="0"/>
          <w:bCs/>
          <w:szCs w:val="21"/>
        </w:rPr>
        <w:t>领域名称</w:t>
      </w:r>
      <w:r>
        <w:rPr>
          <w:rFonts w:hint="eastAsia" w:ascii="宋体" w:hAnsi="宋体"/>
          <w:b w:val="0"/>
          <w:bCs/>
          <w:szCs w:val="21"/>
          <w:lang w:eastAsia="zh-CN"/>
        </w:rPr>
        <w:t>：</w:t>
      </w:r>
      <w:r>
        <w:rPr>
          <w:rFonts w:hint="eastAsia" w:ascii="宋体" w:hAnsi="宋体"/>
          <w:b w:val="0"/>
          <w:bCs/>
          <w:szCs w:val="21"/>
        </w:rPr>
        <w:t xml:space="preserve">材料工程  </w:t>
      </w:r>
    </w:p>
    <w:p>
      <w:pPr>
        <w:numPr>
          <w:numId w:val="0"/>
        </w:numPr>
        <w:spacing w:line="400" w:lineRule="exact"/>
        <w:ind w:firstLine="420" w:firstLineChars="200"/>
        <w:rPr>
          <w:rFonts w:hint="eastAsia" w:ascii="宋体" w:hAnsi="宋体"/>
          <w:b w:val="0"/>
          <w:bCs/>
          <w:szCs w:val="21"/>
        </w:rPr>
      </w:pPr>
      <w:r>
        <w:rPr>
          <w:rFonts w:hint="eastAsia" w:ascii="宋体" w:hAnsi="宋体"/>
          <w:b w:val="0"/>
          <w:bCs/>
          <w:szCs w:val="21"/>
          <w:lang w:val="en-US" w:eastAsia="zh-CN"/>
        </w:rPr>
        <w:t xml:space="preserve">    </w:t>
      </w:r>
      <w:r>
        <w:rPr>
          <w:rFonts w:hint="eastAsia" w:ascii="宋体" w:hAnsi="宋体"/>
          <w:b w:val="0"/>
          <w:bCs/>
          <w:szCs w:val="21"/>
        </w:rPr>
        <w:t>代码：</w:t>
      </w:r>
      <w:r>
        <w:rPr>
          <w:rFonts w:hint="eastAsia" w:ascii="宋体" w:hAnsi="宋体"/>
          <w:b w:val="0"/>
          <w:bCs/>
          <w:color w:val="000000"/>
          <w:szCs w:val="21"/>
          <w:lang w:val="en-US" w:eastAsia="zh-CN"/>
        </w:rPr>
        <w:t>085204</w:t>
      </w:r>
      <w:r>
        <w:rPr>
          <w:rFonts w:hint="eastAsia" w:ascii="宋体" w:hAnsi="宋体"/>
          <w:b w:val="0"/>
          <w:bCs/>
          <w:szCs w:val="21"/>
        </w:rPr>
        <w:t xml:space="preserve">   </w:t>
      </w:r>
    </w:p>
    <w:p>
      <w:pPr>
        <w:numPr>
          <w:numId w:val="0"/>
        </w:numPr>
        <w:spacing w:line="400" w:lineRule="exact"/>
        <w:ind w:firstLine="420" w:firstLineChars="200"/>
        <w:rPr>
          <w:rFonts w:ascii="宋体" w:hAnsi="宋体"/>
          <w:szCs w:val="21"/>
        </w:rPr>
      </w:pPr>
      <w:r>
        <w:rPr>
          <w:rFonts w:hint="eastAsia" w:ascii="宋体" w:hAnsi="宋体"/>
          <w:b w:val="0"/>
          <w:bCs/>
          <w:szCs w:val="21"/>
        </w:rPr>
        <w:t>授权时间：200</w:t>
      </w:r>
      <w:r>
        <w:rPr>
          <w:rFonts w:ascii="宋体" w:hAnsi="宋体"/>
          <w:b w:val="0"/>
          <w:bCs/>
          <w:szCs w:val="21"/>
        </w:rPr>
        <w:t>1</w:t>
      </w:r>
      <w:r>
        <w:rPr>
          <w:rFonts w:hint="eastAsia" w:ascii="宋体" w:hAnsi="宋体"/>
          <w:b w:val="0"/>
          <w:bCs/>
          <w:szCs w:val="21"/>
        </w:rPr>
        <w:t>年</w:t>
      </w:r>
    </w:p>
    <w:p>
      <w:pPr>
        <w:spacing w:line="400" w:lineRule="exact"/>
        <w:rPr>
          <w:rFonts w:ascii="宋体" w:hAnsi="宋体"/>
          <w:color w:val="000000"/>
          <w:szCs w:val="21"/>
        </w:rPr>
      </w:pPr>
      <w:r>
        <w:rPr>
          <w:rFonts w:hint="eastAsia" w:ascii="宋体" w:hAnsi="宋体"/>
          <w:szCs w:val="21"/>
        </w:rPr>
        <w:t>二．</w:t>
      </w:r>
      <w:r>
        <w:rPr>
          <w:rFonts w:hint="eastAsia" w:ascii="宋体" w:hAnsi="宋体"/>
          <w:b/>
          <w:szCs w:val="21"/>
        </w:rPr>
        <w:t>领域简介</w:t>
      </w:r>
    </w:p>
    <w:p>
      <w:pPr>
        <w:spacing w:line="380" w:lineRule="exact"/>
        <w:ind w:firstLine="420" w:firstLineChars="200"/>
        <w:rPr>
          <w:rFonts w:ascii="宋体" w:hAnsi="宋体"/>
          <w:kern w:val="0"/>
        </w:rPr>
      </w:pPr>
      <w:r>
        <w:rPr>
          <w:rFonts w:hint="eastAsia" w:ascii="宋体" w:hAnsi="宋体"/>
          <w:kern w:val="0"/>
        </w:rPr>
        <w:t>本领域侧重于</w:t>
      </w:r>
      <w:r>
        <w:rPr>
          <w:rFonts w:ascii="宋体" w:hAnsi="宋体"/>
          <w:kern w:val="0"/>
        </w:rPr>
        <w:t>聚合物</w:t>
      </w:r>
      <w:r>
        <w:rPr>
          <w:rFonts w:hint="eastAsia" w:ascii="宋体" w:hAnsi="宋体"/>
          <w:kern w:val="0"/>
        </w:rPr>
        <w:t>材料工程应用技术研究，内容涉及聚合物加工工程，</w:t>
      </w:r>
      <w:r>
        <w:rPr>
          <w:rFonts w:ascii="宋体" w:hAnsi="宋体"/>
          <w:kern w:val="0"/>
        </w:rPr>
        <w:t>聚合物</w:t>
      </w:r>
      <w:r>
        <w:rPr>
          <w:rFonts w:hint="eastAsia" w:ascii="宋体" w:hAnsi="宋体"/>
          <w:kern w:val="0"/>
        </w:rPr>
        <w:t>多相多组分体系结构、性能与流变学，聚合物</w:t>
      </w:r>
      <w:r>
        <w:rPr>
          <w:rFonts w:ascii="宋体" w:hAnsi="宋体"/>
          <w:kern w:val="0"/>
        </w:rPr>
        <w:t>材料的改性与功能化</w:t>
      </w:r>
      <w:r>
        <w:rPr>
          <w:rFonts w:hint="eastAsia" w:ascii="宋体" w:hAnsi="宋体"/>
          <w:kern w:val="0"/>
        </w:rPr>
        <w:t>，精细与功能高分子设计与</w:t>
      </w:r>
      <w:r>
        <w:rPr>
          <w:rFonts w:ascii="宋体" w:hAnsi="宋体"/>
          <w:kern w:val="0"/>
        </w:rPr>
        <w:t>合成</w:t>
      </w:r>
      <w:r>
        <w:rPr>
          <w:rFonts w:hint="eastAsia" w:ascii="宋体" w:hAnsi="宋体"/>
          <w:kern w:val="0"/>
        </w:rPr>
        <w:t>，聚合物纳米复合材料等诸多方面。在共混物结构与性能、增容剂的分子设计与合成、精细与功能高分子工程化方面的研究处于国内领先水平。本学科学术队伍现有教授8名、副教授10名、讲师和工程师4名。曾完成国家及安徽省攻关项目10余项、国家自然科学基金项目10项、其它项目20多项，近五年来总科研经费</w:t>
      </w:r>
      <w:r>
        <w:rPr>
          <w:rFonts w:ascii="宋体" w:hAnsi="宋体"/>
          <w:kern w:val="0"/>
        </w:rPr>
        <w:t>2</w:t>
      </w:r>
      <w:r>
        <w:rPr>
          <w:rFonts w:hint="eastAsia" w:ascii="宋体" w:hAnsi="宋体"/>
          <w:kern w:val="0"/>
        </w:rPr>
        <w:t>000多万元。本领域注重产学研合作，与许多大中型企业建立了良好的合作关系或共建工程技术中心。现承担安徽省重大科技攻关、国家自然科学基金等项目7项，发表学术论文200余篇。获得国家科技进步奖4项，省部级科技进步三等奖以上十余项。</w:t>
      </w:r>
    </w:p>
    <w:p>
      <w:pPr>
        <w:spacing w:line="380" w:lineRule="exact"/>
        <w:ind w:firstLine="420" w:firstLineChars="200"/>
        <w:rPr>
          <w:rFonts w:ascii="宋体" w:hAnsi="宋体"/>
          <w:kern w:val="0"/>
        </w:rPr>
      </w:pPr>
    </w:p>
    <w:p>
      <w:pPr>
        <w:spacing w:line="400" w:lineRule="exact"/>
        <w:rPr>
          <w:rFonts w:ascii="宋体" w:hAnsi="宋体"/>
          <w:b/>
          <w:szCs w:val="21"/>
        </w:rPr>
      </w:pPr>
      <w:r>
        <w:rPr>
          <w:rFonts w:hint="eastAsia" w:ascii="宋体" w:hAnsi="宋体"/>
          <w:szCs w:val="21"/>
        </w:rPr>
        <w:t xml:space="preserve">三. </w:t>
      </w:r>
      <w:r>
        <w:rPr>
          <w:rFonts w:hint="eastAsia" w:ascii="宋体" w:hAnsi="宋体"/>
          <w:b/>
          <w:szCs w:val="21"/>
        </w:rPr>
        <w:t>培养目标</w:t>
      </w:r>
    </w:p>
    <w:p>
      <w:pPr>
        <w:ind w:firstLine="420" w:firstLineChars="200"/>
      </w:pPr>
      <w:r>
        <w:rPr>
          <w:rFonts w:hint="eastAsia" w:ascii="宋体" w:hAnsi="宋体" w:cs="仿宋_GB2312"/>
          <w:color w:val="000000"/>
          <w:kern w:val="0"/>
          <w:szCs w:val="21"/>
        </w:rPr>
        <w:t>培养掌握材料工程专业领域坚实的基础理论和系统的专业知识，具有较强的解决实际问题的能力，能够独立承担专业技术或管理工作，具有良好职业素养的应用型、复合式高层次工程技术和工程管理人才</w:t>
      </w:r>
      <w:r>
        <w:rPr>
          <w:rFonts w:hint="eastAsia"/>
        </w:rPr>
        <w:t>。具体要求为：</w:t>
      </w:r>
    </w:p>
    <w:p>
      <w:pPr>
        <w:pStyle w:val="9"/>
        <w:numPr>
          <w:ilvl w:val="0"/>
          <w:numId w:val="2"/>
        </w:numPr>
        <w:tabs>
          <w:tab w:val="left" w:pos="426"/>
        </w:tabs>
        <w:ind w:firstLine="6" w:firstLineChars="0"/>
      </w:pPr>
      <w:r>
        <w:rPr>
          <w:rFonts w:hint="eastAsia" w:ascii="宋体" w:hAnsi="宋体" w:cs="仿宋_GB2312"/>
          <w:color w:val="000000"/>
          <w:kern w:val="0"/>
          <w:szCs w:val="21"/>
        </w:rPr>
        <w:t xml:space="preserve">  拥护党的基本路线和方针政策，热爱祖国，遵纪守法，具有良好的职业道德和敬业精神，具有科学严谨和求真务实的学习态度和工作作风，</w:t>
      </w:r>
      <w:r>
        <w:rPr>
          <w:rFonts w:hint="eastAsia"/>
        </w:rPr>
        <w:t>具有团队合作精神和较强的沟通能力，</w:t>
      </w:r>
      <w:r>
        <w:rPr>
          <w:rFonts w:hint="eastAsia" w:ascii="宋体" w:hAnsi="宋体" w:cs="仿宋_GB2312"/>
          <w:color w:val="000000"/>
          <w:kern w:val="0"/>
          <w:szCs w:val="21"/>
        </w:rPr>
        <w:t>身心健康。</w:t>
      </w:r>
    </w:p>
    <w:p>
      <w:pPr>
        <w:pStyle w:val="9"/>
        <w:numPr>
          <w:ilvl w:val="0"/>
          <w:numId w:val="2"/>
        </w:numPr>
        <w:tabs>
          <w:tab w:val="left" w:pos="426"/>
        </w:tabs>
        <w:ind w:firstLine="6" w:firstLineChars="0"/>
      </w:pPr>
      <w:r>
        <w:rPr>
          <w:rFonts w:ascii="宋体" w:hAnsi="宋体"/>
          <w:kern w:val="0"/>
        </w:rPr>
        <w:t xml:space="preserve">  </w:t>
      </w:r>
      <w:r>
        <w:rPr>
          <w:rFonts w:hint="eastAsia" w:ascii="宋体" w:hAnsi="宋体"/>
          <w:kern w:val="0"/>
        </w:rPr>
        <w:t>掌握工科专业和高分子专业领域的基础理论、先进技术方法和手段</w:t>
      </w:r>
      <w:r>
        <w:rPr>
          <w:rFonts w:hint="eastAsia"/>
        </w:rPr>
        <w:t>，</w:t>
      </w:r>
      <w:r>
        <w:rPr>
          <w:rFonts w:hint="eastAsia" w:ascii="宋体" w:hAnsi="宋体"/>
          <w:kern w:val="0"/>
        </w:rPr>
        <w:t>培养学生运用所学知识开展科技研发的能力</w:t>
      </w:r>
      <w:r>
        <w:rPr>
          <w:rFonts w:hint="eastAsia"/>
        </w:rPr>
        <w:t>。</w:t>
      </w:r>
    </w:p>
    <w:p>
      <w:pPr>
        <w:pStyle w:val="9"/>
        <w:numPr>
          <w:ilvl w:val="0"/>
          <w:numId w:val="2"/>
        </w:numPr>
        <w:tabs>
          <w:tab w:val="left" w:pos="426"/>
        </w:tabs>
        <w:ind w:firstLine="6" w:firstLineChars="0"/>
      </w:pPr>
      <w:r>
        <w:t xml:space="preserve">  掌握一门外语</w:t>
      </w:r>
      <w:r>
        <w:rPr>
          <w:rFonts w:hint="eastAsia"/>
        </w:rPr>
        <w:t>，具备较强的文献检索阅读、英文写作和自主学习能力，培养学生了解本学科专业的前沿和发展趋势</w:t>
      </w:r>
    </w:p>
    <w:p>
      <w:pPr>
        <w:spacing w:line="380" w:lineRule="exact"/>
        <w:rPr>
          <w:rFonts w:ascii="宋体" w:hAnsi="宋体"/>
          <w:kern w:val="0"/>
        </w:rPr>
      </w:pPr>
    </w:p>
    <w:p>
      <w:pPr>
        <w:spacing w:line="400" w:lineRule="exact"/>
        <w:rPr>
          <w:rFonts w:ascii="宋体" w:hAnsi="宋体"/>
          <w:b/>
          <w:szCs w:val="21"/>
        </w:rPr>
      </w:pPr>
      <w:r>
        <w:rPr>
          <w:rFonts w:hint="eastAsia" w:ascii="宋体" w:hAnsi="宋体"/>
          <w:szCs w:val="21"/>
        </w:rPr>
        <w:t xml:space="preserve">四. </w:t>
      </w:r>
      <w:r>
        <w:rPr>
          <w:rFonts w:hint="eastAsia" w:ascii="宋体" w:hAnsi="宋体"/>
          <w:b/>
          <w:szCs w:val="21"/>
        </w:rPr>
        <w:t>研究方向</w:t>
      </w:r>
    </w:p>
    <w:p>
      <w:pPr>
        <w:pStyle w:val="9"/>
        <w:numPr>
          <w:ilvl w:val="0"/>
          <w:numId w:val="3"/>
        </w:numPr>
        <w:tabs>
          <w:tab w:val="left" w:pos="1134"/>
        </w:tabs>
        <w:ind w:firstLineChars="0"/>
      </w:pPr>
      <w:r>
        <w:rPr>
          <w:rFonts w:hint="eastAsia"/>
        </w:rPr>
        <w:t>聚合物材料改性与功能化</w:t>
      </w:r>
    </w:p>
    <w:p>
      <w:pPr>
        <w:pStyle w:val="9"/>
        <w:numPr>
          <w:ilvl w:val="0"/>
          <w:numId w:val="3"/>
        </w:numPr>
        <w:tabs>
          <w:tab w:val="left" w:pos="1134"/>
        </w:tabs>
        <w:ind w:firstLineChars="0"/>
      </w:pPr>
      <w:r>
        <w:rPr>
          <w:rFonts w:hint="eastAsia" w:ascii="宋体" w:hAnsi="宋体"/>
          <w:kern w:val="0"/>
        </w:rPr>
        <w:t>精细与功能高分子设计</w:t>
      </w:r>
      <w:r>
        <w:rPr>
          <w:rFonts w:ascii="宋体" w:hAnsi="宋体"/>
          <w:kern w:val="0"/>
        </w:rPr>
        <w:t>与合成</w:t>
      </w:r>
    </w:p>
    <w:p>
      <w:pPr>
        <w:pStyle w:val="9"/>
        <w:numPr>
          <w:ilvl w:val="0"/>
          <w:numId w:val="3"/>
        </w:numPr>
        <w:tabs>
          <w:tab w:val="left" w:pos="1134"/>
        </w:tabs>
        <w:ind w:firstLineChars="0"/>
      </w:pPr>
      <w:r>
        <w:rPr>
          <w:rFonts w:hint="eastAsia"/>
        </w:rPr>
        <w:t>聚合物基复合材料的制备与应用</w:t>
      </w:r>
    </w:p>
    <w:p>
      <w:pPr>
        <w:pStyle w:val="9"/>
        <w:numPr>
          <w:ilvl w:val="0"/>
          <w:numId w:val="3"/>
        </w:numPr>
        <w:tabs>
          <w:tab w:val="left" w:pos="1134"/>
        </w:tabs>
        <w:ind w:firstLineChars="0"/>
      </w:pPr>
      <w:r>
        <w:rPr>
          <w:rFonts w:hint="eastAsia"/>
        </w:rPr>
        <w:t>聚合物加工工程</w:t>
      </w:r>
    </w:p>
    <w:p>
      <w:pPr>
        <w:tabs>
          <w:tab w:val="left" w:pos="1134"/>
        </w:tabs>
      </w:pPr>
    </w:p>
    <w:p>
      <w:pPr>
        <w:spacing w:line="400" w:lineRule="exact"/>
        <w:rPr>
          <w:rFonts w:ascii="宋体" w:hAnsi="宋体"/>
          <w:szCs w:val="21"/>
        </w:rPr>
      </w:pPr>
      <w:r>
        <w:rPr>
          <w:rFonts w:hint="eastAsia" w:ascii="宋体" w:hAnsi="宋体"/>
          <w:szCs w:val="21"/>
        </w:rPr>
        <w:t xml:space="preserve">五. </w:t>
      </w:r>
      <w:r>
        <w:rPr>
          <w:rFonts w:hint="eastAsia" w:ascii="宋体" w:hAnsi="宋体"/>
          <w:b/>
          <w:szCs w:val="21"/>
        </w:rPr>
        <w:t>学习方式及年限</w:t>
      </w:r>
    </w:p>
    <w:p>
      <w:pPr>
        <w:widowControl/>
        <w:adjustRightInd w:val="0"/>
        <w:spacing w:line="400" w:lineRule="exact"/>
        <w:ind w:firstLine="420" w:firstLineChars="200"/>
        <w:jc w:val="left"/>
        <w:rPr>
          <w:rFonts w:ascii="宋体" w:hAnsi="宋体" w:cs="仿宋_GB2312"/>
          <w:kern w:val="0"/>
          <w:szCs w:val="21"/>
        </w:rPr>
      </w:pPr>
      <w:r>
        <w:rPr>
          <w:rFonts w:hint="eastAsia" w:ascii="宋体" w:hAnsi="宋体" w:cs="仿宋_GB2312"/>
          <w:kern w:val="0"/>
          <w:szCs w:val="21"/>
        </w:rPr>
        <w:t>采用全日制学习方式，学制为2.5年，最长年限不超过4年。</w:t>
      </w:r>
    </w:p>
    <w:p>
      <w:pPr>
        <w:spacing w:line="400" w:lineRule="exact"/>
        <w:rPr>
          <w:rFonts w:ascii="宋体" w:hAnsi="宋体"/>
          <w:szCs w:val="21"/>
        </w:rPr>
      </w:pPr>
      <w:r>
        <w:rPr>
          <w:rFonts w:hint="eastAsia" w:ascii="宋体" w:hAnsi="宋体"/>
          <w:szCs w:val="21"/>
        </w:rPr>
        <w:t xml:space="preserve">六. </w:t>
      </w:r>
      <w:r>
        <w:rPr>
          <w:rFonts w:hint="eastAsia" w:ascii="宋体" w:hAnsi="宋体"/>
          <w:b/>
          <w:szCs w:val="21"/>
        </w:rPr>
        <w:t>培养方式</w:t>
      </w:r>
    </w:p>
    <w:p>
      <w:pPr>
        <w:widowControl/>
        <w:adjustRightInd w:val="0"/>
        <w:spacing w:line="400" w:lineRule="exact"/>
        <w:ind w:firstLine="420" w:firstLineChars="200"/>
        <w:jc w:val="left"/>
        <w:rPr>
          <w:rFonts w:ascii="宋体" w:hAnsi="宋体" w:cs="仿宋_GB2312"/>
          <w:kern w:val="0"/>
          <w:szCs w:val="21"/>
        </w:rPr>
      </w:pPr>
      <w:r>
        <w:rPr>
          <w:rFonts w:hint="eastAsia" w:ascii="宋体" w:hAnsi="宋体" w:cs="仿宋_GB2312"/>
          <w:kern w:val="0"/>
          <w:szCs w:val="21"/>
        </w:rPr>
        <w:t>采用课程学习、实践教学和学位论文相结合的培养方式。课程学习利用一年时间完成，实践教学、学位论文利用一年半时间完成。</w:t>
      </w:r>
    </w:p>
    <w:p>
      <w:pPr>
        <w:spacing w:line="400" w:lineRule="exact"/>
        <w:rPr>
          <w:rFonts w:ascii="宋体" w:hAnsi="宋体"/>
          <w:b/>
          <w:szCs w:val="21"/>
        </w:rPr>
      </w:pPr>
      <w:r>
        <w:rPr>
          <w:rFonts w:hint="eastAsia" w:ascii="宋体" w:hAnsi="宋体"/>
          <w:szCs w:val="21"/>
        </w:rPr>
        <w:t>七．</w:t>
      </w:r>
      <w:r>
        <w:rPr>
          <w:rFonts w:hint="eastAsia" w:ascii="宋体" w:hAnsi="宋体"/>
          <w:b/>
          <w:szCs w:val="21"/>
        </w:rPr>
        <w:t>课程地图</w:t>
      </w:r>
    </w:p>
    <w:p>
      <w:pPr>
        <w:spacing w:line="400" w:lineRule="exact"/>
        <w:rPr>
          <w:rFonts w:ascii="宋体" w:hAnsi="宋体"/>
          <w:b/>
          <w:szCs w:val="21"/>
        </w:rPr>
      </w:pPr>
    </w:p>
    <w:p>
      <w:pPr>
        <w:spacing w:line="400" w:lineRule="exact"/>
        <w:ind w:firstLine="210" w:firstLineChars="100"/>
        <w:rPr>
          <w:rFonts w:ascii="宋体" w:hAnsi="宋体"/>
          <w:szCs w:val="21"/>
        </w:rPr>
      </w:pPr>
      <w:r>
        <w:rPr>
          <w:rFonts w:hint="eastAsia" w:ascii="宋体" w:hAnsi="宋体"/>
          <w:szCs w:val="21"/>
        </w:rPr>
        <w:t>课程地图</w:t>
      </w:r>
    </w:p>
    <w:tbl>
      <w:tblPr>
        <w:tblStyle w:val="8"/>
        <w:tblW w:w="8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1"/>
        <w:gridCol w:w="1110"/>
        <w:gridCol w:w="1111"/>
        <w:gridCol w:w="1110"/>
        <w:gridCol w:w="1111"/>
        <w:gridCol w:w="1110"/>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eastAsia="黑体" w:cs="Arial"/>
                <w:kern w:val="0"/>
                <w:sz w:val="20"/>
                <w:szCs w:val="20"/>
              </w:rPr>
            </w:pPr>
            <w:r>
              <w:rPr>
                <w:rFonts w:hint="eastAsia" w:ascii="Arial" w:hAnsi="Arial" w:eastAsia="黑体" w:cs="Arial"/>
                <w:kern w:val="0"/>
                <w:sz w:val="20"/>
                <w:szCs w:val="20"/>
              </w:rPr>
              <w:t>核心能力</w:t>
            </w:r>
            <w:r>
              <w:rPr>
                <w:rFonts w:ascii="Arial" w:hAnsi="Arial" w:eastAsia="黑体" w:cs="Arial"/>
                <w:kern w:val="0"/>
                <w:sz w:val="20"/>
                <w:szCs w:val="20"/>
              </w:rPr>
              <w:t>课程</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cs="Arial"/>
                <w:kern w:val="0"/>
                <w:sz w:val="20"/>
                <w:szCs w:val="20"/>
              </w:rPr>
            </w:pPr>
            <w:r>
              <w:rPr>
                <w:rFonts w:hint="eastAsia" w:ascii="Arial" w:hAnsi="Arial" w:eastAsia="黑体" w:cs="Arial"/>
                <w:kern w:val="0"/>
                <w:sz w:val="20"/>
                <w:szCs w:val="20"/>
              </w:rPr>
              <w:t>掌握工科专业和高分子专业领域的基础理论、先进技术方法和手段</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cs="Arial"/>
                <w:kern w:val="0"/>
                <w:sz w:val="20"/>
                <w:szCs w:val="20"/>
              </w:rPr>
            </w:pPr>
            <w:r>
              <w:rPr>
                <w:rFonts w:hint="eastAsia" w:ascii="Arial" w:hAnsi="Arial" w:eastAsia="黑体" w:cs="Arial"/>
                <w:kern w:val="0"/>
                <w:sz w:val="20"/>
                <w:szCs w:val="20"/>
              </w:rPr>
              <w:t>培养学生运用所学知识开展科技研发的能力</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cs="Arial"/>
                <w:kern w:val="0"/>
                <w:sz w:val="20"/>
                <w:szCs w:val="20"/>
              </w:rPr>
            </w:pPr>
            <w:r>
              <w:rPr>
                <w:rFonts w:hint="eastAsia" w:ascii="Arial" w:hAnsi="Arial" w:eastAsia="黑体" w:cs="Arial"/>
                <w:kern w:val="0"/>
                <w:sz w:val="20"/>
                <w:szCs w:val="20"/>
              </w:rPr>
              <w:t>培养学生文献检索阅读、英文写作和自主学习能力</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cs="Arial"/>
                <w:kern w:val="0"/>
                <w:sz w:val="20"/>
                <w:szCs w:val="20"/>
              </w:rPr>
            </w:pPr>
            <w:r>
              <w:rPr>
                <w:rFonts w:hint="eastAsia" w:ascii="Arial" w:hAnsi="Arial" w:eastAsia="黑体" w:cs="Arial"/>
                <w:kern w:val="0"/>
                <w:sz w:val="20"/>
                <w:szCs w:val="20"/>
              </w:rPr>
              <w:t>培养学生团队合作精神和较强的沟通能力</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cs="Arial"/>
                <w:kern w:val="0"/>
                <w:sz w:val="20"/>
                <w:szCs w:val="20"/>
              </w:rPr>
            </w:pPr>
            <w:r>
              <w:rPr>
                <w:rFonts w:hint="eastAsia" w:ascii="Arial" w:hAnsi="Arial" w:eastAsia="黑体" w:cs="Arial"/>
                <w:kern w:val="0"/>
                <w:sz w:val="20"/>
                <w:szCs w:val="20"/>
              </w:rPr>
              <w:t>培养学生了解本学科专业的前沿和发展趋势</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cs="Arial"/>
                <w:kern w:val="0"/>
                <w:sz w:val="20"/>
                <w:szCs w:val="20"/>
              </w:rPr>
            </w:pPr>
            <w:r>
              <w:rPr>
                <w:rFonts w:hint="eastAsia" w:ascii="Arial" w:hAnsi="Arial" w:eastAsia="黑体" w:cs="Arial"/>
                <w:kern w:val="0"/>
                <w:sz w:val="20"/>
                <w:szCs w:val="20"/>
              </w:rPr>
              <w:t>培养良好的职业道德和敬业精神，科学严谨和求真务实的学习态度和工作作风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英语</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数值分析</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数理统计</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bookmarkStart w:id="0" w:name="OLE_LINK2"/>
            <w:r>
              <w:rPr>
                <w:rFonts w:hint="eastAsia" w:ascii="Arial" w:hAnsi="Arial" w:cs="Arial"/>
                <w:kern w:val="0"/>
                <w:sz w:val="20"/>
                <w:szCs w:val="20"/>
              </w:rPr>
              <w:t>◎</w:t>
            </w:r>
            <w:bookmarkEnd w:id="0"/>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科学与工程计算</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微机原理</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软件技术基础</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高分子合成新方法</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高分子材料结构与性能</w:t>
            </w:r>
          </w:p>
        </w:tc>
        <w:tc>
          <w:tcPr>
            <w:tcW w:w="1110" w:type="dxa"/>
            <w:tcBorders>
              <w:top w:val="single" w:color="auto" w:sz="4" w:space="0"/>
              <w:left w:val="nil"/>
              <w:bottom w:val="single" w:color="auto" w:sz="4" w:space="0"/>
              <w:right w:val="single" w:color="auto" w:sz="4" w:space="0"/>
            </w:tcBorders>
            <w:tcMar>
              <w:left w:w="28" w:type="dxa"/>
              <w:right w:w="28" w:type="dxa"/>
            </w:tcMar>
            <w:vAlign w:val="top"/>
          </w:tcPr>
          <w:p>
            <w:pPr>
              <w:jc w:val="cente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top"/>
          </w:tcPr>
          <w:p>
            <w:pPr>
              <w:jc w:val="cente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高分子材料改性</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现代高分子化工</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spacing w:val="-20"/>
                <w:kern w:val="0"/>
                <w:sz w:val="20"/>
                <w:szCs w:val="20"/>
              </w:rPr>
            </w:pPr>
            <w:r>
              <w:rPr>
                <w:rFonts w:ascii="Arial" w:hAnsi="Arial" w:cs="Arial"/>
                <w:spacing w:val="-20"/>
                <w:kern w:val="0"/>
                <w:sz w:val="20"/>
                <w:szCs w:val="20"/>
              </w:rPr>
              <w:t>波谱分析及现代测试技术</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学科前沿专题</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高聚物表面与界面</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聚合物流变学</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环境友好高分子</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高分子材料新进展</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功能高分子及应用</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spacing w:val="-20"/>
                <w:kern w:val="0"/>
                <w:sz w:val="20"/>
                <w:szCs w:val="20"/>
              </w:rPr>
              <w:t>聚合反应工程</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高分子材料加工新技术</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Arial"/>
                <w:kern w:val="0"/>
                <w:sz w:val="20"/>
                <w:szCs w:val="20"/>
              </w:rPr>
              <w:t>聚合物基复合材料</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公共实验</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论文写作</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文献综述与开题报告</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工作技术实践</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single" w:color="auto" w:sz="4" w:space="0"/>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学术交流</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创新实践</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001" w:type="dxa"/>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ascii="Arial" w:hAnsi="Arial" w:cs="Arial"/>
                <w:kern w:val="0"/>
                <w:sz w:val="20"/>
                <w:szCs w:val="20"/>
              </w:rPr>
              <w:t>助管、助教</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c>
          <w:tcPr>
            <w:tcW w:w="1110"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p>
        </w:tc>
        <w:tc>
          <w:tcPr>
            <w:tcW w:w="1111" w:type="dxa"/>
            <w:tcBorders>
              <w:top w:val="nil"/>
              <w:left w:val="nil"/>
              <w:bottom w:val="single" w:color="auto" w:sz="4" w:space="0"/>
              <w:right w:val="single" w:color="auto" w:sz="4" w:space="0"/>
            </w:tcBorders>
            <w:tcMar>
              <w:left w:w="28" w:type="dxa"/>
              <w:right w:w="28" w:type="dxa"/>
            </w:tcMar>
            <w:vAlign w:val="center"/>
          </w:tcPr>
          <w:p>
            <w:pPr>
              <w:widowControl/>
              <w:contextualSpacing/>
              <w:jc w:val="center"/>
              <w:rPr>
                <w:rFonts w:ascii="Arial" w:hAnsi="Arial" w:cs="Arial"/>
                <w:kern w:val="0"/>
                <w:sz w:val="20"/>
                <w:szCs w:val="20"/>
              </w:rPr>
            </w:pPr>
            <w:r>
              <w:rPr>
                <w:rFonts w:hint="eastAsia" w:ascii="Arial" w:hAnsi="Arial" w:cs="Arial"/>
                <w:kern w:val="0"/>
                <w:sz w:val="20"/>
                <w:szCs w:val="20"/>
              </w:rPr>
              <w:t>◎</w:t>
            </w:r>
          </w:p>
        </w:tc>
      </w:tr>
    </w:tbl>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b/>
          <w:szCs w:val="21"/>
        </w:rPr>
      </w:pPr>
      <w:r>
        <w:rPr>
          <w:rFonts w:hint="eastAsia" w:ascii="宋体" w:hAnsi="宋体"/>
          <w:szCs w:val="21"/>
        </w:rPr>
        <w:t>八．</w:t>
      </w:r>
      <w:r>
        <w:rPr>
          <w:rFonts w:hint="eastAsia" w:ascii="宋体" w:hAnsi="宋体"/>
          <w:b/>
          <w:szCs w:val="21"/>
        </w:rPr>
        <w:t>课程关系图</w:t>
      </w:r>
    </w:p>
    <w:p>
      <w:pPr>
        <w:rPr>
          <w:rFonts w:ascii="宋体" w:hAnsi="宋体"/>
          <w:b/>
          <w:szCs w:val="21"/>
        </w:rPr>
      </w:pPr>
      <w:r>
        <w:rPr>
          <w:rFonts w:ascii="宋体" w:hAnsi="宋体" w:eastAsia="宋体" w:cs="Times New Roman"/>
          <w:b/>
          <w:kern w:val="2"/>
          <w:sz w:val="21"/>
          <w:szCs w:val="21"/>
          <w:lang w:val="en-US" w:eastAsia="zh-CN" w:bidi="ar-SA"/>
        </w:rPr>
        <w:pict>
          <v:shape id="图片 1" o:spid="_x0000_s1027" type="#_x0000_t75" style="height:513.75pt;width:415.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line="400" w:lineRule="exact"/>
        <w:rPr>
          <w:rFonts w:ascii="宋体" w:hAnsi="宋体"/>
          <w:b/>
          <w:szCs w:val="21"/>
        </w:rPr>
      </w:pPr>
      <w:r>
        <w:rPr>
          <w:rFonts w:hint="eastAsia" w:ascii="宋体" w:hAnsi="宋体"/>
          <w:szCs w:val="21"/>
        </w:rPr>
        <w:t>九．</w:t>
      </w:r>
      <w:r>
        <w:rPr>
          <w:rFonts w:hint="eastAsia" w:ascii="宋体" w:hAnsi="宋体"/>
          <w:b/>
          <w:szCs w:val="21"/>
        </w:rPr>
        <w:t>实践能力标准</w:t>
      </w:r>
    </w:p>
    <w:p>
      <w:pPr>
        <w:ind w:firstLine="420" w:firstLineChars="200"/>
      </w:pPr>
      <w:r>
        <w:rPr>
          <w:rFonts w:hint="eastAsia" w:ascii="Cambria Math" w:hAnsi="Cambria Math" w:cs="宋体"/>
        </w:rPr>
        <w:t>实践能力</w:t>
      </w:r>
      <w:r>
        <w:rPr>
          <w:rFonts w:hint="eastAsia" w:cs="宋体"/>
        </w:rPr>
        <w:t>是在某种社会和文化环境的价值标准下，个体用以解决自己遇到的真正难题或产生及创造出某种产品所需要的综合性能力。本学科培养的研究生所具备的实践能力，须满足三个层次上的要求：</w:t>
      </w:r>
    </w:p>
    <w:p>
      <w:pPr>
        <w:ind w:firstLine="420" w:firstLineChars="200"/>
      </w:pPr>
      <w:r>
        <w:rPr>
          <w:rFonts w:hint="eastAsia" w:cs="宋体"/>
        </w:rPr>
        <w:t>一般实践能力。掌握一些适应当前和未来职业活动、生活活动和社会活动的基本实践能力，主要包括独立生活能力、环境适应能力、交流合作能力、计算机应用能力和外语应用能力等。</w:t>
      </w:r>
    </w:p>
    <w:p>
      <w:pPr>
        <w:ind w:firstLine="420" w:firstLineChars="200"/>
      </w:pPr>
      <w:r>
        <w:rPr>
          <w:rFonts w:hint="eastAsia" w:cs="宋体"/>
        </w:rPr>
        <w:t>专业实践能力。掌握从事本学科领域相关职业活动所必须具备的实践能力，包括具备绘图能力、化学化工与材料实验能力、设备仪器使用能力、加工操作能力、数学运算能力、设计能力等实践能力。</w:t>
      </w:r>
    </w:p>
    <w:p>
      <w:pPr>
        <w:ind w:firstLine="420" w:firstLineChars="200"/>
        <w:rPr>
          <w:rFonts w:cs="宋体"/>
        </w:rPr>
      </w:pPr>
      <w:r>
        <w:rPr>
          <w:rFonts w:hint="eastAsia" w:cs="宋体"/>
        </w:rPr>
        <w:t>综合实践能力。具备较强的完成材料领域中复杂任务和解决新问题所具备的实践能力，不仅能综合地运用一般实践能力、专业实践能力和本专业的知识，还要有运用跨学科跨专业的知识和技能。</w:t>
      </w:r>
    </w:p>
    <w:p>
      <w:pPr>
        <w:ind w:firstLine="420" w:firstLineChars="200"/>
      </w:pPr>
    </w:p>
    <w:p>
      <w:pPr>
        <w:spacing w:line="400" w:lineRule="exact"/>
        <w:rPr>
          <w:rFonts w:ascii="宋体" w:hAnsi="宋体"/>
          <w:b/>
          <w:szCs w:val="21"/>
        </w:rPr>
      </w:pPr>
      <w:r>
        <w:rPr>
          <w:rFonts w:hint="eastAsia" w:ascii="宋体" w:hAnsi="宋体"/>
          <w:szCs w:val="21"/>
        </w:rPr>
        <w:t>十．</w:t>
      </w:r>
      <w:r>
        <w:rPr>
          <w:rFonts w:hint="eastAsia" w:ascii="宋体" w:hAnsi="宋体"/>
          <w:b/>
          <w:szCs w:val="21"/>
        </w:rPr>
        <w:t>实践教学地图</w:t>
      </w:r>
    </w:p>
    <w:p>
      <w:pPr>
        <w:ind w:firstLine="420" w:firstLineChars="200"/>
      </w:pPr>
    </w:p>
    <w:tbl>
      <w:tblPr>
        <w:tblStyle w:val="8"/>
        <w:tblW w:w="7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4"/>
        <w:gridCol w:w="1875"/>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eastAsia="黑体"/>
                <w:kern w:val="0"/>
                <w:sz w:val="20"/>
                <w:szCs w:val="20"/>
              </w:rPr>
            </w:pPr>
            <w:r>
              <w:rPr>
                <w:rFonts w:hint="eastAsia" w:ascii="Arial" w:hAnsi="Arial" w:eastAsia="黑体" w:cs="黑体"/>
                <w:kern w:val="0"/>
                <w:sz w:val="20"/>
                <w:szCs w:val="20"/>
              </w:rPr>
              <w:t>实践课程</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kern w:val="0"/>
                <w:sz w:val="20"/>
                <w:szCs w:val="20"/>
              </w:rPr>
            </w:pPr>
            <w:r>
              <w:rPr>
                <w:rFonts w:hint="eastAsia" w:ascii="Arial" w:hAnsi="Arial" w:eastAsia="黑体" w:cs="黑体"/>
                <w:kern w:val="0"/>
                <w:sz w:val="20"/>
                <w:szCs w:val="20"/>
              </w:rPr>
              <w:t>一般实践能力</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kern w:val="0"/>
                <w:sz w:val="20"/>
                <w:szCs w:val="20"/>
              </w:rPr>
            </w:pPr>
            <w:r>
              <w:rPr>
                <w:rFonts w:hint="eastAsia" w:ascii="Arial" w:hAnsi="Arial" w:eastAsia="黑体" w:cs="黑体"/>
                <w:kern w:val="0"/>
                <w:sz w:val="20"/>
                <w:szCs w:val="20"/>
              </w:rPr>
              <w:t>专业实践能力</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snapToGrid w:val="0"/>
              <w:jc w:val="center"/>
              <w:rPr>
                <w:rFonts w:ascii="Arial" w:hAnsi="Arial" w:eastAsia="黑体"/>
                <w:kern w:val="0"/>
                <w:sz w:val="20"/>
                <w:szCs w:val="20"/>
              </w:rPr>
            </w:pPr>
            <w:r>
              <w:rPr>
                <w:rFonts w:hint="eastAsia" w:ascii="Arial" w:hAnsi="Arial" w:eastAsia="黑体" w:cs="黑体"/>
                <w:kern w:val="0"/>
                <w:sz w:val="20"/>
                <w:szCs w:val="20"/>
              </w:rPr>
              <w:t>综合实践能力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助管、助教</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公共实验</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文献综述与开题报告</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工作技术实践</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学术交流</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创新实践</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87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Arial" w:hAnsi="Arial" w:cs="Arial"/>
                <w:kern w:val="0"/>
                <w:sz w:val="20"/>
                <w:szCs w:val="20"/>
              </w:rPr>
            </w:pPr>
            <w:r>
              <w:rPr>
                <w:rFonts w:hint="eastAsia" w:ascii="Arial" w:hAnsi="Arial" w:cs="宋体"/>
                <w:kern w:val="0"/>
                <w:sz w:val="20"/>
                <w:szCs w:val="20"/>
              </w:rPr>
              <w:t>学位论文课题研究</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c>
          <w:tcPr>
            <w:tcW w:w="1875" w:type="dxa"/>
            <w:tcBorders>
              <w:top w:val="single" w:color="auto" w:sz="4" w:space="0"/>
              <w:left w:val="nil"/>
              <w:bottom w:val="single" w:color="auto" w:sz="4" w:space="0"/>
              <w:right w:val="single" w:color="auto" w:sz="4" w:space="0"/>
            </w:tcBorders>
            <w:tcMar>
              <w:left w:w="28" w:type="dxa"/>
              <w:right w:w="28" w:type="dxa"/>
            </w:tcMar>
            <w:vAlign w:val="center"/>
          </w:tcPr>
          <w:p>
            <w:pPr>
              <w:widowControl/>
              <w:jc w:val="center"/>
              <w:rPr>
                <w:rFonts w:ascii="Arial" w:hAnsi="Arial" w:cs="Arial"/>
                <w:kern w:val="0"/>
                <w:sz w:val="20"/>
                <w:szCs w:val="20"/>
              </w:rPr>
            </w:pPr>
            <w:r>
              <w:rPr>
                <w:rFonts w:hint="eastAsia" w:ascii="Arial" w:hAnsi="Arial" w:cs="宋体"/>
                <w:kern w:val="0"/>
                <w:sz w:val="20"/>
                <w:szCs w:val="20"/>
              </w:rPr>
              <w:t>◎</w:t>
            </w:r>
          </w:p>
        </w:tc>
      </w:tr>
    </w:tbl>
    <w:p/>
    <w:p>
      <w:pPr>
        <w:widowControl/>
        <w:adjustRightInd w:val="0"/>
        <w:spacing w:line="400" w:lineRule="exact"/>
        <w:jc w:val="left"/>
        <w:rPr>
          <w:rFonts w:ascii="宋体" w:hAnsi="宋体" w:cs="仿宋_GB2312"/>
          <w:b/>
          <w:kern w:val="0"/>
          <w:szCs w:val="21"/>
        </w:rPr>
      </w:pPr>
      <w:r>
        <w:rPr>
          <w:rFonts w:hint="eastAsia" w:ascii="宋体" w:hAnsi="宋体" w:cs="仿宋_GB2312"/>
          <w:b/>
          <w:kern w:val="0"/>
          <w:szCs w:val="21"/>
        </w:rPr>
        <w:t>十一、课程设置及学分要求</w:t>
      </w:r>
    </w:p>
    <w:p>
      <w:pPr>
        <w:spacing w:line="400" w:lineRule="exact"/>
        <w:ind w:firstLine="420" w:firstLineChars="200"/>
        <w:jc w:val="left"/>
        <w:rPr>
          <w:rFonts w:ascii="宋体" w:hAnsi="宋体" w:cs="仿宋_GB2312"/>
          <w:kern w:val="0"/>
          <w:szCs w:val="21"/>
        </w:rPr>
      </w:pPr>
      <w:r>
        <w:rPr>
          <w:rFonts w:hint="eastAsia" w:ascii="宋体" w:hAnsi="宋体" w:cs="仿宋_GB2312"/>
          <w:kern w:val="0"/>
          <w:szCs w:val="21"/>
        </w:rPr>
        <w:t>课程学习、实践教学采用学分制，课程学习和实践教学总学分不少于28学分，学位课程不少于12学分。</w:t>
      </w:r>
    </w:p>
    <w:p>
      <w:pPr>
        <w:spacing w:line="400" w:lineRule="exact"/>
        <w:ind w:firstLine="420" w:firstLineChars="200"/>
        <w:jc w:val="left"/>
        <w:rPr>
          <w:rFonts w:ascii="宋体" w:hAnsi="宋体" w:cs="仿宋_GB2312"/>
          <w:kern w:val="0"/>
          <w:szCs w:val="21"/>
        </w:rPr>
      </w:pPr>
      <w:r>
        <w:rPr>
          <w:rFonts w:hint="eastAsia" w:ascii="宋体" w:hAnsi="宋体" w:cs="仿宋_GB2312"/>
          <w:kern w:val="0"/>
          <w:szCs w:val="21"/>
        </w:rPr>
        <w:t>研究生课程分为学位课程和非学位课程。学位课程包括：公共学位课程和专业学位课程；非学位课程包括：公共必修课程和专业选修课程。学位课程合格成绩为75分，非学位课程合格成绩为60分。</w:t>
      </w:r>
    </w:p>
    <w:p>
      <w:pPr>
        <w:spacing w:line="400" w:lineRule="exact"/>
        <w:ind w:firstLine="412" w:firstLineChars="196"/>
        <w:rPr>
          <w:rFonts w:ascii="宋体" w:hAnsi="宋体"/>
          <w:szCs w:val="21"/>
        </w:rPr>
      </w:pPr>
      <w:r>
        <w:rPr>
          <w:rFonts w:hint="eastAsia" w:ascii="宋体" w:hAnsi="宋体"/>
          <w:szCs w:val="21"/>
        </w:rPr>
        <w:t>具体见课程设置一览表。</w:t>
      </w:r>
    </w:p>
    <w:p>
      <w:pPr>
        <w:widowControl/>
        <w:adjustRightInd w:val="0"/>
        <w:spacing w:line="400" w:lineRule="exact"/>
        <w:jc w:val="left"/>
        <w:rPr>
          <w:rFonts w:ascii="宋体" w:hAnsi="宋体" w:cs="仿宋_GB2312"/>
          <w:b/>
          <w:kern w:val="0"/>
          <w:szCs w:val="21"/>
        </w:rPr>
      </w:pPr>
      <w:r>
        <w:rPr>
          <w:rFonts w:hint="eastAsia" w:ascii="宋体" w:hAnsi="宋体" w:cs="仿宋_GB2312"/>
          <w:b/>
          <w:kern w:val="0"/>
          <w:szCs w:val="21"/>
        </w:rPr>
        <w:t>十二、实践教学</w:t>
      </w:r>
    </w:p>
    <w:p>
      <w:pPr>
        <w:widowControl/>
        <w:spacing w:line="400" w:lineRule="exact"/>
        <w:ind w:firstLine="420" w:firstLineChars="200"/>
        <w:jc w:val="left"/>
        <w:rPr>
          <w:rFonts w:ascii="宋体" w:hAnsi="宋体"/>
          <w:szCs w:val="21"/>
        </w:rPr>
      </w:pPr>
      <w:r>
        <w:rPr>
          <w:rFonts w:hint="eastAsia" w:ascii="宋体" w:hAnsi="宋体" w:cs="宋体"/>
          <w:kern w:val="0"/>
          <w:szCs w:val="21"/>
        </w:rPr>
        <w:t>实践教学是</w:t>
      </w:r>
      <w:r>
        <w:rPr>
          <w:rFonts w:ascii="宋体" w:hAnsi="宋体"/>
          <w:szCs w:val="21"/>
        </w:rPr>
        <w:t>全日制</w:t>
      </w:r>
      <w:r>
        <w:rPr>
          <w:rFonts w:hint="eastAsia" w:ascii="宋体" w:hAnsi="宋体"/>
          <w:szCs w:val="21"/>
        </w:rPr>
        <w:t>硕士专业学位研究生</w:t>
      </w:r>
      <w:r>
        <w:rPr>
          <w:rFonts w:hint="eastAsia" w:ascii="宋体" w:hAnsi="宋体" w:cs="宋体"/>
          <w:kern w:val="0"/>
          <w:szCs w:val="21"/>
        </w:rPr>
        <w:t>培养的重要环节，</w:t>
      </w:r>
      <w:r>
        <w:rPr>
          <w:rFonts w:hint="eastAsia" w:ascii="宋体" w:hAnsi="宋体"/>
          <w:szCs w:val="21"/>
        </w:rPr>
        <w:t>鼓励</w:t>
      </w:r>
      <w:r>
        <w:rPr>
          <w:rFonts w:ascii="宋体" w:hAnsi="宋体"/>
          <w:szCs w:val="21"/>
        </w:rPr>
        <w:t>全日制</w:t>
      </w:r>
      <w:r>
        <w:rPr>
          <w:rFonts w:hint="eastAsia" w:ascii="宋体" w:hAnsi="宋体"/>
          <w:szCs w:val="21"/>
        </w:rPr>
        <w:t>硕士专业学位研究生到实践基地或相关企业实习，实习可采用集中实践与分段实践相结合的方式。</w:t>
      </w:r>
    </w:p>
    <w:p>
      <w:pPr>
        <w:widowControl/>
        <w:numPr>
          <w:ilvl w:val="0"/>
          <w:numId w:val="4"/>
        </w:numPr>
        <w:spacing w:line="400" w:lineRule="exact"/>
        <w:jc w:val="left"/>
        <w:rPr>
          <w:rFonts w:ascii="宋体" w:hAnsi="宋体"/>
          <w:szCs w:val="21"/>
        </w:rPr>
      </w:pPr>
      <w:r>
        <w:rPr>
          <w:rFonts w:hint="eastAsia" w:ascii="宋体" w:hAnsi="宋体"/>
          <w:szCs w:val="21"/>
        </w:rPr>
        <w:t>实践教学时间、学分</w:t>
      </w:r>
    </w:p>
    <w:p>
      <w:pPr>
        <w:widowControl/>
        <w:spacing w:line="400" w:lineRule="exact"/>
        <w:ind w:firstLine="315" w:firstLineChars="150"/>
        <w:jc w:val="left"/>
        <w:rPr>
          <w:rFonts w:ascii="宋体" w:hAnsi="宋体"/>
          <w:szCs w:val="21"/>
        </w:rPr>
      </w:pPr>
      <w:r>
        <w:rPr>
          <w:rFonts w:ascii="宋体" w:hAnsi="宋体"/>
          <w:szCs w:val="21"/>
        </w:rPr>
        <w:t>全日制</w:t>
      </w:r>
      <w:r>
        <w:rPr>
          <w:rFonts w:hint="eastAsia" w:ascii="宋体" w:hAnsi="宋体"/>
          <w:szCs w:val="21"/>
        </w:rPr>
        <w:t>硕士专业学位研究生在学期间，必须保证不少于半年的实践教学。</w:t>
      </w:r>
      <w:r>
        <w:rPr>
          <w:rFonts w:hint="eastAsia" w:ascii="宋体" w:hAnsi="宋体" w:cs="宋体"/>
          <w:kern w:val="0"/>
          <w:szCs w:val="21"/>
        </w:rPr>
        <w:t>实践教学采用学分制，须修满6学分。</w:t>
      </w:r>
    </w:p>
    <w:p>
      <w:pPr>
        <w:widowControl/>
        <w:numPr>
          <w:ilvl w:val="0"/>
          <w:numId w:val="4"/>
        </w:numPr>
        <w:spacing w:line="400" w:lineRule="exact"/>
        <w:jc w:val="left"/>
      </w:pPr>
      <w:r>
        <w:rPr>
          <w:rFonts w:hint="eastAsia" w:ascii="宋体" w:hAnsi="宋体"/>
          <w:szCs w:val="21"/>
        </w:rPr>
        <w:t>实践教学地点和内容</w:t>
      </w:r>
    </w:p>
    <w:p>
      <w:pPr>
        <w:widowControl/>
        <w:spacing w:line="400" w:lineRule="exact"/>
        <w:ind w:firstLine="309" w:firstLineChars="147"/>
        <w:jc w:val="left"/>
        <w:rPr>
          <w:rFonts w:ascii="宋体" w:hAnsi="宋体" w:cs="仿宋_GB2312"/>
          <w:kern w:val="0"/>
          <w:szCs w:val="21"/>
        </w:rPr>
      </w:pPr>
      <w:r>
        <w:rPr>
          <w:rFonts w:hint="eastAsia" w:ascii="宋体" w:hAnsi="宋体" w:cs="宋体"/>
          <w:kern w:val="0"/>
          <w:szCs w:val="21"/>
        </w:rPr>
        <w:t>实践教学</w:t>
      </w:r>
      <w:r>
        <w:rPr>
          <w:rFonts w:hint="eastAsia"/>
        </w:rPr>
        <w:t>可以在校内外实践教学基地或</w:t>
      </w:r>
      <w:r>
        <w:rPr>
          <w:rFonts w:hint="eastAsia" w:ascii="宋体" w:hAnsi="宋体"/>
          <w:szCs w:val="21"/>
        </w:rPr>
        <w:t>相关企业</w:t>
      </w:r>
      <w:r>
        <w:rPr>
          <w:rFonts w:hint="eastAsia"/>
        </w:rPr>
        <w:t>工程或生产现场进行，导师帮助所指导的研究生确定实践教学地点，制定</w:t>
      </w:r>
      <w:r>
        <w:rPr>
          <w:rFonts w:hint="eastAsia" w:ascii="宋体" w:hAnsi="宋体" w:cs="宋体"/>
          <w:kern w:val="0"/>
          <w:szCs w:val="21"/>
        </w:rPr>
        <w:t>实践教学计划。实践教学主要内容包括：了解</w:t>
      </w:r>
      <w:r>
        <w:rPr>
          <w:rFonts w:hint="eastAsia"/>
        </w:rPr>
        <w:t>实践教学单位主要业务（主要生产产品）；设计流程或生产工艺；设计、工艺原理；产品质量分析与检测；工程和生产管理等。</w:t>
      </w:r>
    </w:p>
    <w:p>
      <w:pPr>
        <w:widowControl/>
        <w:spacing w:line="400" w:lineRule="exact"/>
        <w:ind w:firstLine="309" w:firstLineChars="147"/>
        <w:jc w:val="left"/>
      </w:pPr>
      <w:r>
        <w:rPr>
          <w:rFonts w:hint="eastAsia" w:ascii="宋体" w:hAnsi="宋体"/>
          <w:szCs w:val="21"/>
        </w:rPr>
        <w:t>实践教学报告及其要求</w:t>
      </w:r>
    </w:p>
    <w:p>
      <w:pPr>
        <w:widowControl/>
        <w:spacing w:line="400" w:lineRule="exact"/>
        <w:ind w:firstLine="315" w:firstLineChars="150"/>
        <w:jc w:val="left"/>
        <w:rPr>
          <w:rFonts w:ascii="宋体" w:hAnsi="宋体" w:cs="仿宋_GB2312"/>
          <w:kern w:val="0"/>
          <w:szCs w:val="21"/>
        </w:rPr>
      </w:pPr>
      <w:r>
        <w:rPr>
          <w:rFonts w:hint="eastAsia"/>
        </w:rPr>
        <w:t>实践结束后，学生根据实践内容撰写不少于5000字的实践报告。实践报告内容包括：实践教学单位的主要业务（主要生产产品）；设计流程或生产工艺；设计、工艺原理；产品质量分析与检测；实践教学单位技术或管理特色；技术或管理方面存在的主要问题；你对实践教学单位技术或管理创新方面的建议等。</w:t>
      </w:r>
    </w:p>
    <w:p>
      <w:pPr>
        <w:widowControl/>
        <w:spacing w:line="400" w:lineRule="exact"/>
        <w:ind w:firstLine="315" w:firstLineChars="150"/>
        <w:jc w:val="left"/>
      </w:pPr>
      <w:r>
        <w:rPr>
          <w:rFonts w:hint="eastAsia"/>
        </w:rPr>
        <w:t>实践教学学分的认定：</w:t>
      </w:r>
    </w:p>
    <w:p>
      <w:pPr>
        <w:widowControl/>
        <w:spacing w:line="400" w:lineRule="exact"/>
        <w:ind w:firstLine="304" w:firstLineChars="145"/>
        <w:jc w:val="left"/>
      </w:pPr>
      <w:r>
        <w:rPr>
          <w:rFonts w:hint="eastAsia"/>
        </w:rPr>
        <w:t>实践结束后，由实践活动所在企业（单位）就研究生实践学习情况给出鉴定，并填写《合肥工业大学全日制硕士专业学位研究生专业实践表》。将实践报告交导师审核，签字通过后，交所在学院学位评定分委会考核，学院研究生管理部门备案，考核合格，实践记6学分。</w:t>
      </w:r>
    </w:p>
    <w:p>
      <w:pPr>
        <w:widowControl/>
        <w:adjustRightInd w:val="0"/>
        <w:spacing w:line="400" w:lineRule="exact"/>
        <w:jc w:val="left"/>
        <w:rPr>
          <w:rFonts w:ascii="宋体" w:hAnsi="宋体" w:cs="仿宋_GB2312"/>
          <w:b/>
          <w:kern w:val="0"/>
          <w:szCs w:val="21"/>
        </w:rPr>
      </w:pPr>
      <w:r>
        <w:rPr>
          <w:rFonts w:hint="eastAsia" w:ascii="宋体" w:hAnsi="宋体" w:cs="仿宋_GB2312"/>
          <w:b/>
          <w:kern w:val="0"/>
          <w:szCs w:val="21"/>
        </w:rPr>
        <w:t>十三、必修环节</w:t>
      </w:r>
    </w:p>
    <w:p>
      <w:pPr>
        <w:widowControl/>
        <w:adjustRightInd w:val="0"/>
        <w:spacing w:line="400" w:lineRule="exact"/>
        <w:jc w:val="left"/>
      </w:pPr>
      <w:r>
        <w:rPr>
          <w:rFonts w:hint="eastAsia"/>
        </w:rPr>
        <w:t>1、</w:t>
      </w:r>
      <w:r>
        <w:t>文献综述</w:t>
      </w:r>
      <w:r>
        <w:rPr>
          <w:rFonts w:hint="eastAsia"/>
        </w:rPr>
        <w:t>和开题报告</w:t>
      </w:r>
      <w:r>
        <w:t xml:space="preserve"> </w:t>
      </w:r>
    </w:p>
    <w:p>
      <w:pPr>
        <w:widowControl/>
        <w:spacing w:line="400" w:lineRule="exact"/>
        <w:ind w:firstLine="304" w:firstLineChars="145"/>
        <w:jc w:val="left"/>
      </w:pPr>
      <w:r>
        <w:t xml:space="preserve">全日制硕士专业学位研究生在学期间应结合学位论文任务，至少阅读50篇在研究领域内以行业技术发展与工程应用为主要内容的国内外文献，了解、学习本领域新技术、新工艺、新方法、新材料的应用进展，并在此基础上，撰写3000字以上的文献综述，综述本研究课题相关的国内外研究进展，包括研究现状、水平、发展趋势和有待进一步研究的问题。 </w:t>
      </w:r>
    </w:p>
    <w:p>
      <w:pPr>
        <w:widowControl/>
        <w:spacing w:line="400" w:lineRule="exact"/>
        <w:ind w:firstLine="304" w:firstLineChars="145"/>
        <w:jc w:val="left"/>
      </w:pPr>
      <w:r>
        <w:t>开题报告应以文献综述报告为基础，主要介绍课题研究的</w:t>
      </w:r>
      <w:r>
        <w:rPr>
          <w:rFonts w:hint="eastAsia"/>
        </w:rPr>
        <w:t>来源、</w:t>
      </w:r>
      <w:r>
        <w:t>目的、意义、</w:t>
      </w:r>
      <w:r>
        <w:rPr>
          <w:rFonts w:hint="eastAsia"/>
        </w:rPr>
        <w:t>该课题在国内外的概况等</w:t>
      </w:r>
      <w:r>
        <w:t xml:space="preserve">。课题要求直接来源于生产实际或具有明确的生产背景和应用价值的课题，包括技术引进、技术改造、技术攻关等生产关键任务，新技术、新工艺、新设备、新材料和新产品的研发等方面的课题。 </w:t>
      </w:r>
    </w:p>
    <w:p>
      <w:pPr>
        <w:widowControl/>
        <w:spacing w:line="400" w:lineRule="exact"/>
        <w:ind w:firstLine="304" w:firstLineChars="145"/>
        <w:jc w:val="left"/>
      </w:pPr>
      <w:r>
        <w:t>全日制硕士专业学位研究生最迟应在第二学期完成文献综述</w:t>
      </w:r>
      <w:r>
        <w:rPr>
          <w:rFonts w:hint="eastAsia"/>
        </w:rPr>
        <w:t>，</w:t>
      </w:r>
      <w:r>
        <w:t>最迟应在第</w:t>
      </w:r>
      <w:r>
        <w:rPr>
          <w:rFonts w:hint="eastAsia"/>
        </w:rPr>
        <w:t>三</w:t>
      </w:r>
      <w:r>
        <w:t>学期完成开题报告</w:t>
      </w:r>
      <w:r>
        <w:rPr>
          <w:rFonts w:hint="eastAsia"/>
        </w:rPr>
        <w:t>。</w:t>
      </w:r>
    </w:p>
    <w:p>
      <w:pPr>
        <w:widowControl/>
        <w:jc w:val="left"/>
      </w:pPr>
      <w:r>
        <w:rPr>
          <w:rFonts w:hint="eastAsia"/>
        </w:rPr>
        <w:t>2、学术交流</w:t>
      </w:r>
    </w:p>
    <w:p>
      <w:pPr>
        <w:widowControl/>
        <w:spacing w:line="400" w:lineRule="exact"/>
        <w:ind w:firstLine="304" w:firstLineChars="145"/>
        <w:jc w:val="left"/>
      </w:pPr>
      <w:r>
        <w:t>全日制硕士专业学位研究生在学期间应至少参加</w:t>
      </w:r>
      <w:r>
        <w:rPr>
          <w:rFonts w:hint="eastAsia"/>
        </w:rPr>
        <w:t>3</w:t>
      </w:r>
      <w:r>
        <w:t>次学术活动</w:t>
      </w:r>
      <w:r>
        <w:rPr>
          <w:rFonts w:hint="eastAsia"/>
        </w:rPr>
        <w:t>，</w:t>
      </w:r>
      <w:r>
        <w:t>每次学术活动要有</w:t>
      </w:r>
      <w:r>
        <w:rPr>
          <w:rFonts w:hint="eastAsia"/>
        </w:rPr>
        <w:t>500</w:t>
      </w:r>
      <w:r>
        <w:t>字左</w:t>
      </w:r>
      <w:bookmarkStart w:id="1" w:name="9"/>
      <w:bookmarkEnd w:id="1"/>
      <w:r>
        <w:t>右的总结报告，简述内容并阐明自己对相关问题的学术观点或看法。</w:t>
      </w:r>
    </w:p>
    <w:p>
      <w:pPr>
        <w:widowControl/>
        <w:spacing w:line="400" w:lineRule="exact"/>
        <w:jc w:val="left"/>
      </w:pPr>
      <w:r>
        <w:rPr>
          <w:rFonts w:hint="eastAsia"/>
        </w:rPr>
        <w:t>3、工作技术实践</w:t>
      </w:r>
    </w:p>
    <w:p>
      <w:pPr>
        <w:widowControl/>
        <w:spacing w:line="400" w:lineRule="exact"/>
        <w:ind w:firstLine="304" w:firstLineChars="145"/>
        <w:jc w:val="left"/>
      </w:pPr>
      <w:r>
        <w:rPr>
          <w:rFonts w:hint="eastAsia"/>
        </w:rPr>
        <w:t>工作技术实践内容可以是本科生的课程教学、辅导、试验、实习的指导，课程设计、毕业设计或毕业论文的辅导，也可以是厂矿企业、科研部门、工程单位的生产、科研技术或管理工作。</w:t>
      </w:r>
    </w:p>
    <w:p>
      <w:pPr>
        <w:widowControl/>
        <w:spacing w:line="400" w:lineRule="exact"/>
        <w:ind w:firstLine="304" w:firstLineChars="145"/>
        <w:jc w:val="left"/>
      </w:pPr>
      <w:r>
        <w:rPr>
          <w:rFonts w:hint="eastAsia"/>
        </w:rPr>
        <w:t>作为工作技术实践的一部分，在全日制硕士专业学位研究生培养方案中，将硕士</w:t>
      </w:r>
      <w:r>
        <w:t>生担任助教</w:t>
      </w:r>
      <w:r>
        <w:rPr>
          <w:rFonts w:hint="eastAsia"/>
        </w:rPr>
        <w:t>或</w:t>
      </w:r>
      <w:r>
        <w:t>助管工作</w:t>
      </w:r>
      <w:r>
        <w:rPr>
          <w:rFonts w:hint="eastAsia"/>
        </w:rPr>
        <w:t>设立为1个学分的必修环节</w:t>
      </w:r>
      <w:r>
        <w:t>。</w:t>
      </w:r>
      <w:r>
        <w:rPr>
          <w:rFonts w:hint="eastAsia"/>
        </w:rPr>
        <w:t>要求助教所助课程学时（或累计）不少于48学时；助管工作量当量等同于助教工作量要求。</w:t>
      </w:r>
    </w:p>
    <w:p>
      <w:pPr>
        <w:widowControl/>
        <w:spacing w:line="400" w:lineRule="exact"/>
        <w:ind w:firstLine="304" w:firstLineChars="145"/>
        <w:jc w:val="left"/>
      </w:pPr>
    </w:p>
    <w:p>
      <w:pPr>
        <w:widowControl/>
        <w:adjustRightInd w:val="0"/>
        <w:spacing w:line="400" w:lineRule="exact"/>
        <w:jc w:val="left"/>
        <w:rPr>
          <w:b/>
          <w:kern w:val="0"/>
        </w:rPr>
      </w:pPr>
      <w:r>
        <w:rPr>
          <w:rFonts w:hint="eastAsia"/>
          <w:b/>
          <w:kern w:val="0"/>
        </w:rPr>
        <w:t>十四、学位论文</w:t>
      </w:r>
    </w:p>
    <w:p>
      <w:pPr>
        <w:widowControl/>
        <w:adjustRightInd w:val="0"/>
        <w:spacing w:line="400" w:lineRule="exact"/>
        <w:ind w:firstLine="420" w:firstLineChars="200"/>
        <w:jc w:val="left"/>
        <w:rPr>
          <w:kern w:val="0"/>
        </w:rPr>
      </w:pPr>
      <w:r>
        <w:rPr>
          <w:rFonts w:hint="eastAsia"/>
          <w:kern w:val="0"/>
        </w:rPr>
        <w:t>论文的选题应来源于工程实际或具有明确的工程技术背景，论文的内容可以是</w:t>
      </w:r>
      <w:r>
        <w:rPr>
          <w:rFonts w:ascii="宋体" w:hAnsi="宋体"/>
          <w:kern w:val="0"/>
        </w:rPr>
        <w:t>聚合物</w:t>
      </w:r>
      <w:r>
        <w:rPr>
          <w:rFonts w:hint="eastAsia" w:ascii="宋体" w:hAnsi="宋体"/>
          <w:kern w:val="0"/>
        </w:rPr>
        <w:t>材料基础理论及工程应用技术领域的</w:t>
      </w:r>
      <w:r>
        <w:rPr>
          <w:rFonts w:hint="eastAsia"/>
          <w:kern w:val="0"/>
        </w:rPr>
        <w:t>新技术、新工艺、新设备、新材料、新产品的研制与开发，工程设计与研究、技术研究或技术改造方案研究、工程软件或应用软件开发、工程管理等。</w:t>
      </w:r>
    </w:p>
    <w:p>
      <w:pPr>
        <w:widowControl/>
        <w:adjustRightInd w:val="0"/>
        <w:spacing w:line="400" w:lineRule="exact"/>
        <w:ind w:firstLine="420" w:firstLineChars="200"/>
        <w:jc w:val="left"/>
      </w:pPr>
      <w:r>
        <w:rPr>
          <w:rFonts w:hint="eastAsia"/>
        </w:rPr>
        <w:t>下面是工程硕士类论文的一些具体内容和形式要求：</w:t>
      </w:r>
    </w:p>
    <w:p>
      <w:pPr>
        <w:widowControl/>
        <w:numPr>
          <w:ilvl w:val="0"/>
          <w:numId w:val="5"/>
        </w:numPr>
        <w:adjustRightInd w:val="0"/>
        <w:spacing w:line="400" w:lineRule="exact"/>
        <w:jc w:val="left"/>
      </w:pPr>
      <w:r>
        <w:rPr>
          <w:rFonts w:hint="eastAsia"/>
          <w:bCs/>
        </w:rPr>
        <w:t>工程设计与研究类</w:t>
      </w:r>
    </w:p>
    <w:p>
      <w:pPr>
        <w:widowControl/>
        <w:numPr>
          <w:ilvl w:val="1"/>
          <w:numId w:val="5"/>
        </w:numPr>
        <w:adjustRightInd w:val="0"/>
        <w:spacing w:line="400" w:lineRule="exact"/>
        <w:jc w:val="left"/>
        <w:rPr>
          <w:szCs w:val="21"/>
        </w:rPr>
      </w:pPr>
      <w:r>
        <w:rPr>
          <w:rFonts w:hint="eastAsia"/>
        </w:rPr>
        <w:t>以解决生产或工程实际问题为重点，设计方案正确，设计结构合理，数据准确，符合规范。</w:t>
      </w:r>
    </w:p>
    <w:p>
      <w:pPr>
        <w:widowControl/>
        <w:numPr>
          <w:ilvl w:val="1"/>
          <w:numId w:val="5"/>
        </w:numPr>
        <w:adjustRightInd w:val="0"/>
        <w:spacing w:line="400" w:lineRule="exact"/>
        <w:jc w:val="left"/>
      </w:pPr>
      <w:r>
        <w:rPr>
          <w:rFonts w:hint="eastAsia"/>
        </w:rPr>
        <w:t>论文成果应具有一定的经济效益或社会效益。</w:t>
      </w:r>
    </w:p>
    <w:p>
      <w:pPr>
        <w:widowControl/>
        <w:numPr>
          <w:ilvl w:val="0"/>
          <w:numId w:val="5"/>
        </w:numPr>
        <w:adjustRightInd w:val="0"/>
        <w:spacing w:line="400" w:lineRule="exact"/>
        <w:jc w:val="left"/>
      </w:pPr>
      <w:r>
        <w:rPr>
          <w:rFonts w:hint="eastAsia"/>
        </w:rPr>
        <w:t>技术研究或技术改造方案研究类</w:t>
      </w:r>
    </w:p>
    <w:p>
      <w:pPr>
        <w:widowControl/>
        <w:numPr>
          <w:ilvl w:val="1"/>
          <w:numId w:val="5"/>
        </w:numPr>
        <w:adjustRightInd w:val="0"/>
        <w:spacing w:line="400" w:lineRule="exact"/>
        <w:jc w:val="left"/>
        <w:rPr>
          <w:szCs w:val="21"/>
        </w:rPr>
      </w:pPr>
      <w:r>
        <w:rPr>
          <w:rFonts w:hint="eastAsia"/>
        </w:rPr>
        <w:t>能综合应用基础理论与专业知识，理论推导、分析严密完整，实验方法科学，数据可信。</w:t>
      </w:r>
    </w:p>
    <w:p>
      <w:pPr>
        <w:widowControl/>
        <w:numPr>
          <w:ilvl w:val="1"/>
          <w:numId w:val="5"/>
        </w:numPr>
        <w:adjustRightInd w:val="0"/>
        <w:spacing w:line="400" w:lineRule="exact"/>
        <w:jc w:val="left"/>
      </w:pPr>
      <w:r>
        <w:rPr>
          <w:rFonts w:hint="eastAsia"/>
        </w:rPr>
        <w:t>能应用先进的技术方法分析与解决问题。</w:t>
      </w:r>
    </w:p>
    <w:p>
      <w:pPr>
        <w:widowControl/>
        <w:numPr>
          <w:ilvl w:val="1"/>
          <w:numId w:val="5"/>
        </w:numPr>
        <w:adjustRightInd w:val="0"/>
        <w:spacing w:line="400" w:lineRule="exact"/>
        <w:jc w:val="left"/>
      </w:pPr>
      <w:r>
        <w:rPr>
          <w:rFonts w:hint="eastAsia"/>
        </w:rPr>
        <w:t>论文成果应具有一定的先进性或适用性。</w:t>
      </w:r>
    </w:p>
    <w:p>
      <w:pPr>
        <w:widowControl/>
        <w:numPr>
          <w:ilvl w:val="0"/>
          <w:numId w:val="5"/>
        </w:numPr>
        <w:adjustRightInd w:val="0"/>
        <w:spacing w:line="400" w:lineRule="exact"/>
        <w:jc w:val="left"/>
      </w:pPr>
      <w:r>
        <w:rPr>
          <w:rFonts w:hint="eastAsia"/>
        </w:rPr>
        <w:t>工程软件或应用软件开发类</w:t>
      </w:r>
    </w:p>
    <w:p>
      <w:pPr>
        <w:widowControl/>
        <w:numPr>
          <w:ilvl w:val="1"/>
          <w:numId w:val="5"/>
        </w:numPr>
        <w:adjustRightInd w:val="0"/>
        <w:spacing w:line="400" w:lineRule="exact"/>
        <w:jc w:val="left"/>
      </w:pPr>
      <w:r>
        <w:rPr>
          <w:rFonts w:hint="eastAsia"/>
        </w:rPr>
        <w:t>需求分析合理，总体设计正确。</w:t>
      </w:r>
    </w:p>
    <w:p>
      <w:pPr>
        <w:widowControl/>
        <w:numPr>
          <w:ilvl w:val="1"/>
          <w:numId w:val="5"/>
        </w:numPr>
        <w:adjustRightInd w:val="0"/>
        <w:spacing w:line="400" w:lineRule="exact"/>
        <w:jc w:val="left"/>
      </w:pPr>
      <w:r>
        <w:rPr>
          <w:rFonts w:hint="eastAsia"/>
        </w:rPr>
        <w:t>程序编制及文档规范。</w:t>
      </w:r>
    </w:p>
    <w:p>
      <w:pPr>
        <w:widowControl/>
        <w:numPr>
          <w:ilvl w:val="1"/>
          <w:numId w:val="5"/>
        </w:numPr>
        <w:adjustRightInd w:val="0"/>
        <w:spacing w:line="400" w:lineRule="exact"/>
        <w:jc w:val="left"/>
        <w:rPr>
          <w:szCs w:val="21"/>
        </w:rPr>
      </w:pPr>
      <w:r>
        <w:rPr>
          <w:rFonts w:hint="eastAsia"/>
        </w:rPr>
        <w:t>应有调试、测试乃至应用结果和评价。</w:t>
      </w:r>
    </w:p>
    <w:p>
      <w:pPr>
        <w:widowControl/>
        <w:numPr>
          <w:ilvl w:val="0"/>
          <w:numId w:val="5"/>
        </w:numPr>
        <w:adjustRightInd w:val="0"/>
        <w:spacing w:line="400" w:lineRule="exact"/>
        <w:jc w:val="left"/>
      </w:pPr>
      <w:r>
        <w:rPr>
          <w:rFonts w:hint="eastAsia"/>
          <w:bCs/>
        </w:rPr>
        <w:t>工程管理类</w:t>
      </w:r>
    </w:p>
    <w:p>
      <w:pPr>
        <w:widowControl/>
        <w:numPr>
          <w:ilvl w:val="1"/>
          <w:numId w:val="5"/>
        </w:numPr>
        <w:adjustRightInd w:val="0"/>
        <w:spacing w:line="400" w:lineRule="exact"/>
        <w:jc w:val="left"/>
        <w:rPr>
          <w:szCs w:val="21"/>
        </w:rPr>
      </w:pPr>
      <w:r>
        <w:rPr>
          <w:rFonts w:hint="eastAsia"/>
        </w:rPr>
        <w:t>应有明确的生产与工程应用背景和一定的经济或社会效益。</w:t>
      </w:r>
    </w:p>
    <w:p>
      <w:pPr>
        <w:widowControl/>
        <w:numPr>
          <w:ilvl w:val="1"/>
          <w:numId w:val="5"/>
        </w:numPr>
        <w:adjustRightInd w:val="0"/>
        <w:spacing w:line="400" w:lineRule="exact"/>
        <w:jc w:val="left"/>
        <w:rPr>
          <w:sz w:val="18"/>
          <w:szCs w:val="18"/>
        </w:rPr>
      </w:pPr>
      <w:r>
        <w:rPr>
          <w:rFonts w:hint="eastAsia"/>
        </w:rPr>
        <w:t>收集与统计的数据充分、可靠。</w:t>
      </w:r>
    </w:p>
    <w:p>
      <w:pPr>
        <w:widowControl/>
        <w:numPr>
          <w:ilvl w:val="1"/>
          <w:numId w:val="5"/>
        </w:numPr>
        <w:adjustRightInd w:val="0"/>
        <w:spacing w:line="400" w:lineRule="exact"/>
        <w:jc w:val="left"/>
        <w:rPr>
          <w:sz w:val="18"/>
          <w:szCs w:val="18"/>
        </w:rPr>
      </w:pPr>
      <w:r>
        <w:rPr>
          <w:rFonts w:hint="eastAsia"/>
        </w:rPr>
        <w:t>理论建模和分析方法科学正确。</w:t>
      </w:r>
    </w:p>
    <w:p>
      <w:pPr>
        <w:widowControl/>
        <w:spacing w:line="400" w:lineRule="exact"/>
        <w:ind w:firstLine="420" w:firstLineChars="200"/>
        <w:jc w:val="left"/>
      </w:pPr>
      <w:r>
        <w:rPr>
          <w:rFonts w:hint="eastAsia"/>
        </w:rPr>
        <w:t>鼓励实行双导师制，其中一位导师来自校内且具有工程实践经验，另一位导师来自企业且专业与本领域相关的专家；另外，也可以根据学生的论文研究方向，成立指导小组。</w:t>
      </w:r>
    </w:p>
    <w:p>
      <w:pPr>
        <w:widowControl/>
        <w:spacing w:line="400" w:lineRule="exact"/>
        <w:ind w:firstLine="420" w:firstLineChars="200"/>
        <w:jc w:val="left"/>
        <w:rPr>
          <w:rFonts w:ascii="宋体" w:hAnsi="宋体" w:cs="宋体"/>
          <w:kern w:val="0"/>
          <w:szCs w:val="21"/>
        </w:rPr>
      </w:pPr>
    </w:p>
    <w:p>
      <w:pPr>
        <w:snapToGrid w:val="0"/>
        <w:spacing w:line="400" w:lineRule="exact"/>
        <w:rPr>
          <w:b/>
          <w:kern w:val="0"/>
        </w:rPr>
      </w:pPr>
      <w:r>
        <w:rPr>
          <w:rFonts w:hint="eastAsia"/>
          <w:b/>
          <w:kern w:val="0"/>
        </w:rPr>
        <w:t>十五、论文答辩要求和学位授予</w:t>
      </w:r>
    </w:p>
    <w:p>
      <w:pPr>
        <w:numPr>
          <w:ilvl w:val="0"/>
          <w:numId w:val="6"/>
        </w:numPr>
        <w:snapToGrid w:val="0"/>
        <w:spacing w:line="400" w:lineRule="exact"/>
        <w:rPr>
          <w:kern w:val="0"/>
        </w:rPr>
      </w:pPr>
      <w:r>
        <w:rPr>
          <w:rFonts w:hint="eastAsia"/>
          <w:kern w:val="0"/>
        </w:rPr>
        <w:t>攻读</w:t>
      </w:r>
      <w:r>
        <w:rPr>
          <w:rFonts w:ascii="宋体" w:hAnsi="宋体"/>
          <w:szCs w:val="21"/>
        </w:rPr>
        <w:t>全日制</w:t>
      </w:r>
      <w:r>
        <w:rPr>
          <w:rFonts w:hint="eastAsia" w:ascii="宋体" w:hAnsi="宋体"/>
          <w:szCs w:val="21"/>
        </w:rPr>
        <w:t>硕士专业学位研究生</w:t>
      </w:r>
      <w:r>
        <w:rPr>
          <w:rFonts w:hint="eastAsia"/>
          <w:kern w:val="0"/>
        </w:rPr>
        <w:t>完成培养方案中规定的所有环节，获得培养方案规定的学分，成绩合格，方可申请论文答辩。</w:t>
      </w:r>
    </w:p>
    <w:p>
      <w:pPr>
        <w:numPr>
          <w:ilvl w:val="0"/>
          <w:numId w:val="6"/>
        </w:numPr>
        <w:snapToGrid w:val="0"/>
        <w:spacing w:line="400" w:lineRule="exact"/>
        <w:rPr>
          <w:kern w:val="0"/>
        </w:rPr>
      </w:pPr>
      <w:r>
        <w:rPr>
          <w:rFonts w:ascii="宋体" w:hAnsi="宋体"/>
          <w:szCs w:val="21"/>
        </w:rPr>
        <w:t>学位论文正文不少于3万</w:t>
      </w:r>
      <w:r>
        <w:rPr>
          <w:rFonts w:hint="eastAsia" w:ascii="宋体" w:hAnsi="宋体"/>
          <w:szCs w:val="21"/>
        </w:rPr>
        <w:t>字，</w:t>
      </w:r>
      <w:r>
        <w:rPr>
          <w:rFonts w:ascii="宋体" w:hAnsi="宋体"/>
          <w:szCs w:val="21"/>
        </w:rPr>
        <w:t>撰写格式参考合肥工业大学硕士学位论文相关规定。</w:t>
      </w:r>
    </w:p>
    <w:p>
      <w:pPr>
        <w:numPr>
          <w:ilvl w:val="0"/>
          <w:numId w:val="6"/>
        </w:numPr>
        <w:snapToGrid w:val="0"/>
        <w:spacing w:line="400" w:lineRule="exact"/>
        <w:rPr>
          <w:kern w:val="0"/>
        </w:rPr>
      </w:pPr>
      <w:r>
        <w:rPr>
          <w:rFonts w:hint="eastAsia"/>
        </w:rPr>
        <w:t>论文开题报告和中期阶段报告。</w:t>
      </w:r>
    </w:p>
    <w:p>
      <w:pPr>
        <w:numPr>
          <w:ilvl w:val="0"/>
          <w:numId w:val="6"/>
        </w:numPr>
        <w:snapToGrid w:val="0"/>
        <w:spacing w:line="400" w:lineRule="exact"/>
        <w:rPr>
          <w:kern w:val="0"/>
        </w:rPr>
      </w:pPr>
      <w:r>
        <w:rPr>
          <w:rFonts w:hint="eastAsia"/>
        </w:rPr>
        <w:t>不少于5000字的实践报告。</w:t>
      </w:r>
    </w:p>
    <w:p>
      <w:pPr>
        <w:numPr>
          <w:ilvl w:val="0"/>
          <w:numId w:val="6"/>
        </w:numPr>
        <w:snapToGrid w:val="0"/>
        <w:spacing w:line="400" w:lineRule="exact"/>
        <w:rPr>
          <w:kern w:val="0"/>
        </w:rPr>
      </w:pPr>
      <w:r>
        <w:rPr>
          <w:rFonts w:hint="eastAsia"/>
          <w:szCs w:val="21"/>
        </w:rPr>
        <w:t>论文评阅、答辩审批、答辩、学位授予等，均按国家教育部和</w:t>
      </w:r>
      <w:r>
        <w:rPr>
          <w:rFonts w:hint="eastAsia" w:ascii="宋体" w:hAnsi="宋体"/>
          <w:szCs w:val="21"/>
        </w:rPr>
        <w:t>《合肥工业大学授予</w:t>
      </w:r>
      <w:r>
        <w:rPr>
          <w:rFonts w:hint="eastAsia"/>
          <w:szCs w:val="21"/>
        </w:rPr>
        <w:t>全日制硕士专</w:t>
      </w:r>
      <w:r>
        <w:rPr>
          <w:rFonts w:hint="eastAsia" w:ascii="宋体" w:hAnsi="宋体"/>
          <w:szCs w:val="21"/>
        </w:rPr>
        <w:t>业学位工作办法》</w:t>
      </w:r>
      <w:r>
        <w:rPr>
          <w:rFonts w:hint="eastAsia"/>
          <w:szCs w:val="21"/>
        </w:rPr>
        <w:t>的有关规定执行。</w:t>
      </w:r>
    </w:p>
    <w:p>
      <w:pPr>
        <w:spacing w:line="400" w:lineRule="exact"/>
        <w:rPr>
          <w:rFonts w:ascii="宋体" w:hAnsi="宋体"/>
          <w:b/>
          <w:szCs w:val="21"/>
        </w:rPr>
      </w:pPr>
      <w:r>
        <w:rPr>
          <w:rFonts w:hint="eastAsia" w:ascii="宋体" w:hAnsi="宋体"/>
          <w:szCs w:val="21"/>
        </w:rPr>
        <w:t>十六．</w:t>
      </w:r>
      <w:r>
        <w:rPr>
          <w:rFonts w:hint="eastAsia" w:ascii="宋体" w:hAnsi="宋体"/>
          <w:b/>
          <w:szCs w:val="21"/>
        </w:rPr>
        <w:t>其他说明</w:t>
      </w:r>
    </w:p>
    <w:p>
      <w:pPr>
        <w:spacing w:line="400" w:lineRule="exact"/>
        <w:ind w:firstLine="420" w:firstLineChars="200"/>
        <w:rPr>
          <w:rFonts w:hAnsi="宋体"/>
          <w:szCs w:val="21"/>
        </w:rPr>
      </w:pPr>
      <w:r>
        <w:rPr>
          <w:rFonts w:hint="eastAsia" w:hAnsi="宋体"/>
          <w:szCs w:val="21"/>
        </w:rPr>
        <w:t>鼓励学生</w:t>
      </w:r>
      <w:bookmarkStart w:id="2" w:name="OLE_LINK1"/>
      <w:r>
        <w:rPr>
          <w:rFonts w:hint="eastAsia" w:hAnsi="宋体"/>
          <w:szCs w:val="21"/>
        </w:rPr>
        <w:t>跨专业报考</w:t>
      </w:r>
      <w:bookmarkEnd w:id="2"/>
      <w:r>
        <w:rPr>
          <w:rFonts w:hint="eastAsia" w:hAnsi="宋体"/>
          <w:szCs w:val="21"/>
        </w:rPr>
        <w:t>本专业研究生。跨专业及同等学力考生，入学后补修本专业本科主干课程2—3门，不计学分。</w:t>
      </w:r>
    </w:p>
    <w:p>
      <w:pPr>
        <w:spacing w:line="400" w:lineRule="exact"/>
        <w:ind w:firstLine="420" w:firstLineChars="200"/>
        <w:rPr>
          <w:rFonts w:hAnsi="宋体"/>
          <w:szCs w:val="21"/>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bookmarkStart w:id="3" w:name="_GoBack"/>
      <w:bookmarkEnd w:id="3"/>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材料工程</w:t>
      </w:r>
      <w:r>
        <w:rPr>
          <w:rFonts w:hint="eastAsia" w:ascii="宋体" w:hAnsi="宋体"/>
          <w:sz w:val="28"/>
          <w:szCs w:val="28"/>
        </w:rPr>
        <w:t>(化)</w:t>
      </w:r>
      <w:r>
        <w:rPr>
          <w:rFonts w:hint="eastAsia" w:ascii="宋体" w:hAnsi="宋体"/>
          <w:b/>
          <w:sz w:val="28"/>
          <w:szCs w:val="28"/>
        </w:rPr>
        <w:t>领域全日制硕士专业学位研究生课程设置一览表</w:t>
      </w:r>
    </w:p>
    <w:tbl>
      <w:tblPr>
        <w:tblStyle w:val="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0"/>
        <w:gridCol w:w="2977"/>
        <w:gridCol w:w="648"/>
        <w:gridCol w:w="835"/>
        <w:gridCol w:w="645"/>
        <w:gridCol w:w="645"/>
        <w:gridCol w:w="645"/>
        <w:gridCol w:w="64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567" w:type="dxa"/>
            <w:vMerge w:val="restart"/>
            <w:tcBorders>
              <w:top w:val="double" w:color="auto" w:sz="4" w:space="0"/>
              <w:left w:val="double" w:color="auto" w:sz="4" w:space="0"/>
            </w:tcBorders>
            <w:vAlign w:val="top"/>
          </w:tcPr>
          <w:p>
            <w:pPr>
              <w:rPr>
                <w:rFonts w:eastAsia="楷体_GB2312"/>
                <w:sz w:val="18"/>
                <w:szCs w:val="18"/>
              </w:rPr>
            </w:pPr>
            <w:r>
              <w:rPr>
                <w:rFonts w:eastAsia="楷体_GB2312"/>
                <w:sz w:val="18"/>
                <w:szCs w:val="18"/>
              </w:rPr>
              <w:t>类别</w:t>
            </w:r>
          </w:p>
        </w:tc>
        <w:tc>
          <w:tcPr>
            <w:tcW w:w="850" w:type="dxa"/>
            <w:vMerge w:val="restart"/>
            <w:tcBorders>
              <w:top w:val="double" w:color="auto" w:sz="4" w:space="0"/>
              <w:left w:val="double" w:color="auto" w:sz="4" w:space="0"/>
            </w:tcBorders>
            <w:vAlign w:val="center"/>
          </w:tcPr>
          <w:p>
            <w:pPr>
              <w:rPr>
                <w:rFonts w:eastAsia="楷体_GB2312"/>
                <w:sz w:val="18"/>
                <w:szCs w:val="18"/>
              </w:rPr>
            </w:pPr>
          </w:p>
        </w:tc>
        <w:tc>
          <w:tcPr>
            <w:tcW w:w="2977" w:type="dxa"/>
            <w:vMerge w:val="restart"/>
            <w:tcBorders>
              <w:top w:val="double" w:color="auto" w:sz="4" w:space="0"/>
            </w:tcBorders>
            <w:vAlign w:val="center"/>
          </w:tcPr>
          <w:p>
            <w:pPr>
              <w:ind w:firstLine="720" w:firstLineChars="400"/>
              <w:rPr>
                <w:rFonts w:eastAsia="楷体_GB2312"/>
                <w:sz w:val="18"/>
                <w:szCs w:val="18"/>
              </w:rPr>
            </w:pPr>
            <w:r>
              <w:rPr>
                <w:rFonts w:eastAsia="楷体_GB2312"/>
                <w:sz w:val="18"/>
                <w:szCs w:val="18"/>
              </w:rPr>
              <w:t>课 程 名 称</w:t>
            </w:r>
          </w:p>
        </w:tc>
        <w:tc>
          <w:tcPr>
            <w:tcW w:w="648" w:type="dxa"/>
            <w:vMerge w:val="restart"/>
            <w:tcBorders>
              <w:top w:val="double" w:color="auto" w:sz="4" w:space="0"/>
            </w:tcBorders>
            <w:vAlign w:val="center"/>
          </w:tcPr>
          <w:p>
            <w:pPr>
              <w:jc w:val="center"/>
              <w:rPr>
                <w:rFonts w:eastAsia="楷体_GB2312"/>
                <w:sz w:val="18"/>
                <w:szCs w:val="18"/>
              </w:rPr>
            </w:pPr>
            <w:r>
              <w:rPr>
                <w:rFonts w:eastAsia="楷体_GB2312"/>
                <w:sz w:val="18"/>
                <w:szCs w:val="18"/>
              </w:rPr>
              <w:t>学时</w:t>
            </w:r>
          </w:p>
        </w:tc>
        <w:tc>
          <w:tcPr>
            <w:tcW w:w="835" w:type="dxa"/>
            <w:vMerge w:val="restart"/>
            <w:tcBorders>
              <w:top w:val="double" w:color="auto" w:sz="4" w:space="0"/>
            </w:tcBorders>
            <w:vAlign w:val="center"/>
          </w:tcPr>
          <w:p>
            <w:pPr>
              <w:jc w:val="center"/>
              <w:rPr>
                <w:rFonts w:eastAsia="楷体_GB2312"/>
                <w:sz w:val="18"/>
                <w:szCs w:val="18"/>
              </w:rPr>
            </w:pPr>
            <w:r>
              <w:rPr>
                <w:rFonts w:eastAsia="楷体_GB2312"/>
                <w:sz w:val="18"/>
                <w:szCs w:val="18"/>
              </w:rPr>
              <w:t>学分</w:t>
            </w:r>
          </w:p>
        </w:tc>
        <w:tc>
          <w:tcPr>
            <w:tcW w:w="1290" w:type="dxa"/>
            <w:gridSpan w:val="2"/>
            <w:tcBorders>
              <w:top w:val="double" w:color="auto" w:sz="4" w:space="0"/>
            </w:tcBorders>
            <w:vAlign w:val="center"/>
          </w:tcPr>
          <w:p>
            <w:pPr>
              <w:jc w:val="center"/>
              <w:rPr>
                <w:rFonts w:eastAsia="楷体_GB2312"/>
                <w:sz w:val="18"/>
                <w:szCs w:val="18"/>
              </w:rPr>
            </w:pPr>
            <w:r>
              <w:rPr>
                <w:rFonts w:eastAsia="楷体_GB2312"/>
                <w:sz w:val="18"/>
                <w:szCs w:val="18"/>
              </w:rPr>
              <w:t>考核学期</w:t>
            </w:r>
          </w:p>
        </w:tc>
        <w:tc>
          <w:tcPr>
            <w:tcW w:w="1290" w:type="dxa"/>
            <w:gridSpan w:val="2"/>
            <w:tcBorders>
              <w:top w:val="double" w:color="auto" w:sz="4" w:space="0"/>
            </w:tcBorders>
            <w:vAlign w:val="center"/>
          </w:tcPr>
          <w:p>
            <w:pPr>
              <w:jc w:val="center"/>
              <w:rPr>
                <w:rFonts w:eastAsia="楷体_GB2312"/>
                <w:sz w:val="18"/>
                <w:szCs w:val="18"/>
              </w:rPr>
            </w:pPr>
            <w:r>
              <w:rPr>
                <w:rFonts w:eastAsia="楷体_GB2312"/>
                <w:sz w:val="18"/>
                <w:szCs w:val="18"/>
              </w:rPr>
              <w:t>考核性质</w:t>
            </w:r>
          </w:p>
        </w:tc>
        <w:tc>
          <w:tcPr>
            <w:tcW w:w="843" w:type="dxa"/>
            <w:vMerge w:val="restart"/>
            <w:tcBorders>
              <w:top w:val="double" w:color="auto" w:sz="4" w:space="0"/>
              <w:right w:val="double" w:color="auto" w:sz="4" w:space="0"/>
            </w:tcBorders>
            <w:vAlign w:val="center"/>
          </w:tcPr>
          <w:p>
            <w:pPr>
              <w:jc w:val="center"/>
              <w:rPr>
                <w:rFonts w:eastAsia="楷体_GB2312"/>
                <w:sz w:val="18"/>
                <w:szCs w:val="18"/>
              </w:rPr>
            </w:pPr>
            <w:r>
              <w:rPr>
                <w:rFonts w:eastAsia="楷体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Merge w:val="continue"/>
            <w:vAlign w:val="top"/>
          </w:tcPr>
          <w:p>
            <w:pPr>
              <w:rPr>
                <w:rFonts w:eastAsia="楷体_GB2312"/>
                <w:sz w:val="18"/>
                <w:szCs w:val="18"/>
              </w:rPr>
            </w:pPr>
          </w:p>
        </w:tc>
        <w:tc>
          <w:tcPr>
            <w:tcW w:w="648" w:type="dxa"/>
            <w:vMerge w:val="continue"/>
            <w:vAlign w:val="top"/>
          </w:tcPr>
          <w:p>
            <w:pPr>
              <w:jc w:val="center"/>
              <w:rPr>
                <w:rFonts w:eastAsia="楷体_GB2312"/>
                <w:sz w:val="18"/>
                <w:szCs w:val="18"/>
              </w:rPr>
            </w:pPr>
          </w:p>
        </w:tc>
        <w:tc>
          <w:tcPr>
            <w:tcW w:w="835" w:type="dxa"/>
            <w:vMerge w:val="continue"/>
            <w:vAlign w:val="top"/>
          </w:tcPr>
          <w:p>
            <w:pP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一</w:t>
            </w:r>
          </w:p>
        </w:tc>
        <w:tc>
          <w:tcPr>
            <w:tcW w:w="645" w:type="dxa"/>
            <w:vAlign w:val="center"/>
          </w:tcPr>
          <w:p>
            <w:pPr>
              <w:jc w:val="center"/>
              <w:rPr>
                <w:rFonts w:eastAsia="楷体_GB2312"/>
                <w:sz w:val="18"/>
                <w:szCs w:val="18"/>
              </w:rPr>
            </w:pPr>
            <w:r>
              <w:rPr>
                <w:rFonts w:eastAsia="楷体_GB2312"/>
                <w:sz w:val="18"/>
                <w:szCs w:val="18"/>
              </w:rPr>
              <w:t>二</w:t>
            </w:r>
          </w:p>
        </w:tc>
        <w:tc>
          <w:tcPr>
            <w:tcW w:w="645" w:type="dxa"/>
            <w:vAlign w:val="center"/>
          </w:tcPr>
          <w:p>
            <w:pPr>
              <w:jc w:val="center"/>
              <w:rPr>
                <w:rFonts w:eastAsia="楷体_GB2312"/>
                <w:sz w:val="18"/>
                <w:szCs w:val="18"/>
              </w:rPr>
            </w:pPr>
            <w:r>
              <w:rPr>
                <w:rFonts w:eastAsia="楷体_GB2312"/>
                <w:sz w:val="18"/>
                <w:szCs w:val="18"/>
              </w:rPr>
              <w:t>考试</w:t>
            </w:r>
          </w:p>
        </w:tc>
        <w:tc>
          <w:tcPr>
            <w:tcW w:w="645" w:type="dxa"/>
            <w:vAlign w:val="center"/>
          </w:tcPr>
          <w:p>
            <w:pPr>
              <w:jc w:val="center"/>
              <w:rPr>
                <w:rFonts w:eastAsia="楷体_GB2312"/>
                <w:sz w:val="18"/>
                <w:szCs w:val="18"/>
              </w:rPr>
            </w:pPr>
            <w:r>
              <w:rPr>
                <w:rFonts w:eastAsia="楷体_GB2312"/>
                <w:sz w:val="18"/>
                <w:szCs w:val="18"/>
              </w:rPr>
              <w:t>考查</w:t>
            </w: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restart"/>
            <w:tcBorders>
              <w:left w:val="double" w:color="auto" w:sz="4" w:space="0"/>
            </w:tcBorders>
            <w:vAlign w:val="top"/>
          </w:tcPr>
          <w:p>
            <w:pPr>
              <w:jc w:val="center"/>
              <w:rPr>
                <w:rFonts w:eastAsia="楷体_GB2312"/>
                <w:sz w:val="18"/>
                <w:szCs w:val="18"/>
              </w:rPr>
            </w:pPr>
          </w:p>
          <w:p>
            <w:pPr>
              <w:jc w:val="center"/>
              <w:rPr>
                <w:rFonts w:eastAsia="楷体_GB2312"/>
                <w:sz w:val="18"/>
                <w:szCs w:val="18"/>
              </w:rPr>
            </w:pPr>
          </w:p>
          <w:p>
            <w:pPr>
              <w:jc w:val="center"/>
              <w:rPr>
                <w:rFonts w:eastAsia="楷体_GB2312"/>
                <w:sz w:val="18"/>
                <w:szCs w:val="18"/>
              </w:rPr>
            </w:pPr>
          </w:p>
          <w:p>
            <w:pPr>
              <w:jc w:val="center"/>
              <w:rPr>
                <w:rFonts w:eastAsia="楷体_GB2312"/>
                <w:sz w:val="18"/>
                <w:szCs w:val="18"/>
              </w:rPr>
            </w:pPr>
            <w:r>
              <w:rPr>
                <w:rFonts w:eastAsia="楷体_GB2312"/>
                <w:sz w:val="18"/>
                <w:szCs w:val="18"/>
              </w:rPr>
              <w:t>学</w:t>
            </w:r>
          </w:p>
          <w:p>
            <w:pPr>
              <w:jc w:val="center"/>
              <w:rPr>
                <w:rFonts w:eastAsia="楷体_GB2312"/>
                <w:sz w:val="18"/>
                <w:szCs w:val="18"/>
              </w:rPr>
            </w:pPr>
          </w:p>
          <w:p>
            <w:pPr>
              <w:jc w:val="center"/>
              <w:rPr>
                <w:rFonts w:eastAsia="楷体_GB2312"/>
                <w:sz w:val="18"/>
                <w:szCs w:val="18"/>
              </w:rPr>
            </w:pPr>
          </w:p>
          <w:p>
            <w:pPr>
              <w:jc w:val="center"/>
              <w:rPr>
                <w:rFonts w:eastAsia="楷体_GB2312"/>
                <w:sz w:val="18"/>
                <w:szCs w:val="18"/>
              </w:rPr>
            </w:pPr>
            <w:r>
              <w:rPr>
                <w:rFonts w:eastAsia="楷体_GB2312"/>
                <w:sz w:val="18"/>
                <w:szCs w:val="18"/>
              </w:rPr>
              <w:t>位</w:t>
            </w:r>
          </w:p>
          <w:p>
            <w:pPr>
              <w:jc w:val="center"/>
              <w:rPr>
                <w:rFonts w:eastAsia="楷体_GB2312"/>
                <w:sz w:val="18"/>
                <w:szCs w:val="18"/>
              </w:rPr>
            </w:pPr>
          </w:p>
          <w:p>
            <w:pPr>
              <w:jc w:val="center"/>
              <w:rPr>
                <w:rFonts w:eastAsia="楷体_GB2312"/>
                <w:sz w:val="18"/>
                <w:szCs w:val="18"/>
              </w:rPr>
            </w:pPr>
          </w:p>
          <w:p>
            <w:pPr>
              <w:jc w:val="center"/>
              <w:rPr>
                <w:rFonts w:eastAsia="楷体_GB2312"/>
                <w:sz w:val="18"/>
                <w:szCs w:val="18"/>
              </w:rPr>
            </w:pPr>
            <w:r>
              <w:rPr>
                <w:rFonts w:eastAsia="楷体_GB2312"/>
                <w:sz w:val="18"/>
                <w:szCs w:val="18"/>
              </w:rPr>
              <w:t>课</w:t>
            </w:r>
          </w:p>
        </w:tc>
        <w:tc>
          <w:tcPr>
            <w:tcW w:w="850" w:type="dxa"/>
            <w:vMerge w:val="restart"/>
            <w:tcBorders>
              <w:left w:val="double" w:color="auto" w:sz="4" w:space="0"/>
            </w:tcBorders>
            <w:vAlign w:val="center"/>
          </w:tcPr>
          <w:p>
            <w:pPr>
              <w:jc w:val="center"/>
              <w:rPr>
                <w:rFonts w:eastAsia="楷体_GB2312"/>
                <w:sz w:val="18"/>
                <w:szCs w:val="18"/>
              </w:rPr>
            </w:pPr>
            <w:r>
              <w:rPr>
                <w:rFonts w:hint="eastAsia" w:eastAsia="楷体_GB2312"/>
                <w:sz w:val="18"/>
                <w:szCs w:val="18"/>
              </w:rPr>
              <w:t>公共学位课程</w:t>
            </w:r>
          </w:p>
          <w:p>
            <w:pPr>
              <w:jc w:val="cente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马克思主义与社会科学方法论</w:t>
            </w:r>
          </w:p>
        </w:tc>
        <w:tc>
          <w:tcPr>
            <w:tcW w:w="648" w:type="dxa"/>
            <w:vAlign w:val="top"/>
          </w:tcPr>
          <w:p>
            <w:pPr>
              <w:jc w:val="center"/>
              <w:rPr>
                <w:rFonts w:eastAsia="楷体_GB2312"/>
                <w:sz w:val="18"/>
                <w:szCs w:val="18"/>
              </w:rPr>
            </w:pPr>
            <w:r>
              <w:rPr>
                <w:rFonts w:hint="eastAsia" w:eastAsia="楷体_GB2312"/>
                <w:sz w:val="18"/>
                <w:szCs w:val="18"/>
              </w:rPr>
              <w:t>18</w:t>
            </w:r>
          </w:p>
        </w:tc>
        <w:tc>
          <w:tcPr>
            <w:tcW w:w="835" w:type="dxa"/>
            <w:vAlign w:val="top"/>
          </w:tcPr>
          <w:p>
            <w:pPr>
              <w:jc w:val="center"/>
              <w:rPr>
                <w:rFonts w:eastAsia="楷体_GB2312"/>
                <w:sz w:val="18"/>
                <w:szCs w:val="18"/>
              </w:rPr>
            </w:pPr>
            <w:r>
              <w:rPr>
                <w:rFonts w:eastAsia="楷体_GB2312"/>
                <w:sz w:val="18"/>
                <w:szCs w:val="18"/>
              </w:rPr>
              <w:t>1</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restart"/>
            <w:tcBorders>
              <w:right w:val="double" w:color="auto" w:sz="4" w:space="0"/>
            </w:tcBorders>
            <w:vAlign w:val="center"/>
          </w:tcPr>
          <w:p>
            <w:pPr>
              <w:jc w:val="center"/>
              <w:rPr>
                <w:rFonts w:eastAsia="楷体_GB2312"/>
                <w:sz w:val="18"/>
                <w:szCs w:val="18"/>
              </w:rPr>
            </w:pPr>
            <w:r>
              <w:rPr>
                <w:rFonts w:hint="eastAsia" w:eastAsia="楷体_GB2312"/>
                <w:sz w:val="18"/>
                <w:szCs w:val="18"/>
              </w:rPr>
              <w:t>选修 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eastAsia="楷体_GB2312"/>
                <w:sz w:val="18"/>
                <w:szCs w:val="18"/>
              </w:rPr>
              <w:t>自然辩证法</w:t>
            </w:r>
            <w:r>
              <w:rPr>
                <w:rFonts w:hint="eastAsia" w:eastAsia="楷体_GB2312"/>
                <w:sz w:val="18"/>
                <w:szCs w:val="18"/>
              </w:rPr>
              <w:t>概论</w:t>
            </w:r>
          </w:p>
        </w:tc>
        <w:tc>
          <w:tcPr>
            <w:tcW w:w="648" w:type="dxa"/>
            <w:vAlign w:val="top"/>
          </w:tcPr>
          <w:p>
            <w:pPr>
              <w:jc w:val="center"/>
              <w:rPr>
                <w:rFonts w:eastAsia="楷体_GB2312"/>
                <w:sz w:val="18"/>
                <w:szCs w:val="18"/>
              </w:rPr>
            </w:pPr>
            <w:r>
              <w:rPr>
                <w:rFonts w:hint="eastAsia" w:eastAsia="楷体_GB2312"/>
                <w:sz w:val="18"/>
                <w:szCs w:val="18"/>
              </w:rPr>
              <w:t>18</w:t>
            </w:r>
          </w:p>
        </w:tc>
        <w:tc>
          <w:tcPr>
            <w:tcW w:w="835" w:type="dxa"/>
            <w:vAlign w:val="top"/>
          </w:tcPr>
          <w:p>
            <w:pPr>
              <w:jc w:val="center"/>
              <w:rPr>
                <w:rFonts w:eastAsia="楷体_GB2312"/>
                <w:sz w:val="18"/>
                <w:szCs w:val="18"/>
              </w:rPr>
            </w:pPr>
            <w:r>
              <w:rPr>
                <w:rFonts w:hint="eastAsia" w:eastAsia="楷体_GB2312"/>
                <w:sz w:val="18"/>
                <w:szCs w:val="18"/>
              </w:rPr>
              <w:t>1</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中国特色社会主义理论与实践研究</w:t>
            </w:r>
          </w:p>
        </w:tc>
        <w:tc>
          <w:tcPr>
            <w:tcW w:w="648" w:type="dxa"/>
            <w:vAlign w:val="top"/>
          </w:tcPr>
          <w:p>
            <w:pPr>
              <w:jc w:val="center"/>
              <w:rPr>
                <w:rFonts w:eastAsia="楷体_GB2312"/>
                <w:sz w:val="18"/>
                <w:szCs w:val="18"/>
              </w:rPr>
            </w:pPr>
            <w:r>
              <w:rPr>
                <w:rFonts w:hint="eastAsia" w:eastAsia="楷体_GB2312"/>
                <w:sz w:val="18"/>
                <w:szCs w:val="18"/>
              </w:rPr>
              <w:t>36</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restart"/>
            <w:tcBorders>
              <w:right w:val="double" w:color="auto" w:sz="4" w:space="0"/>
            </w:tcBorders>
            <w:vAlign w:val="top"/>
          </w:tcPr>
          <w:p>
            <w:pPr>
              <w:jc w:val="center"/>
              <w:rPr>
                <w:rFonts w:eastAsia="楷体_GB2312"/>
                <w:sz w:val="18"/>
                <w:szCs w:val="18"/>
              </w:rPr>
            </w:pPr>
            <w:r>
              <w:rPr>
                <w:rFonts w:hint="eastAsia" w:eastAsia="楷体_GB2312"/>
                <w:sz w:val="18"/>
                <w:szCs w:val="18"/>
              </w:rPr>
              <w:t>公共 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eastAsia="楷体_GB2312"/>
                <w:sz w:val="18"/>
                <w:szCs w:val="18"/>
              </w:rPr>
              <w:t>英语(一</w:t>
            </w:r>
            <w:r>
              <w:rPr>
                <w:rFonts w:hint="eastAsia" w:eastAsia="楷体_GB2312"/>
                <w:sz w:val="18"/>
                <w:szCs w:val="18"/>
              </w:rPr>
              <w:t>、二</w:t>
            </w:r>
            <w:r>
              <w:rPr>
                <w:rFonts w:eastAsia="楷体_GB2312"/>
                <w:sz w:val="18"/>
                <w:szCs w:val="18"/>
              </w:rPr>
              <w:t>)</w:t>
            </w:r>
          </w:p>
        </w:tc>
        <w:tc>
          <w:tcPr>
            <w:tcW w:w="648" w:type="dxa"/>
            <w:vAlign w:val="top"/>
          </w:tcPr>
          <w:p>
            <w:pPr>
              <w:jc w:val="center"/>
              <w:rPr>
                <w:rFonts w:eastAsia="楷体_GB2312"/>
                <w:sz w:val="18"/>
                <w:szCs w:val="18"/>
              </w:rPr>
            </w:pPr>
            <w:r>
              <w:rPr>
                <w:rFonts w:hint="eastAsia" w:eastAsia="楷体_GB2312"/>
                <w:sz w:val="18"/>
                <w:szCs w:val="18"/>
              </w:rPr>
              <w:t>90</w:t>
            </w:r>
          </w:p>
        </w:tc>
        <w:tc>
          <w:tcPr>
            <w:tcW w:w="835" w:type="dxa"/>
            <w:vAlign w:val="top"/>
          </w:tcPr>
          <w:p>
            <w:pPr>
              <w:jc w:val="center"/>
              <w:rPr>
                <w:rFonts w:eastAsia="楷体_GB2312"/>
                <w:sz w:val="18"/>
                <w:szCs w:val="18"/>
              </w:rPr>
            </w:pPr>
            <w:r>
              <w:rPr>
                <w:rFonts w:hint="eastAsia" w:eastAsia="楷体_GB2312"/>
                <w:sz w:val="18"/>
                <w:szCs w:val="18"/>
              </w:rPr>
              <w:t>3</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eastAsia="楷体_GB2312"/>
                <w:sz w:val="18"/>
                <w:szCs w:val="18"/>
              </w:rPr>
              <w:t>数值分析</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restart"/>
            <w:tcBorders>
              <w:right w:val="double" w:color="auto" w:sz="4" w:space="0"/>
            </w:tcBorders>
            <w:vAlign w:val="center"/>
          </w:tcPr>
          <w:p>
            <w:pPr>
              <w:jc w:val="center"/>
              <w:rPr>
                <w:rFonts w:eastAsia="楷体_GB2312"/>
                <w:sz w:val="18"/>
                <w:szCs w:val="18"/>
              </w:rPr>
            </w:pPr>
            <w:r>
              <w:rPr>
                <w:rFonts w:hint="eastAsia" w:eastAsia="楷体_GB2312"/>
                <w:sz w:val="18"/>
                <w:szCs w:val="18"/>
              </w:rPr>
              <w:t>选修 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eastAsia="楷体_GB2312"/>
                <w:sz w:val="18"/>
                <w:szCs w:val="18"/>
              </w:rPr>
              <w:t>数理统计</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科学与工程计算</w:t>
            </w:r>
          </w:p>
        </w:tc>
        <w:tc>
          <w:tcPr>
            <w:tcW w:w="648" w:type="dxa"/>
            <w:vAlign w:val="top"/>
          </w:tcPr>
          <w:p>
            <w:pPr>
              <w:jc w:val="center"/>
              <w:rPr>
                <w:rFonts w:eastAsia="楷体_GB2312"/>
                <w:sz w:val="18"/>
                <w:szCs w:val="18"/>
              </w:rPr>
            </w:pPr>
            <w:r>
              <w:rPr>
                <w:rFonts w:eastAsia="楷体_GB2312"/>
                <w:sz w:val="18"/>
                <w:szCs w:val="18"/>
              </w:rPr>
              <w:t>32</w:t>
            </w:r>
          </w:p>
        </w:tc>
        <w:tc>
          <w:tcPr>
            <w:tcW w:w="835" w:type="dxa"/>
            <w:vAlign w:val="top"/>
          </w:tcPr>
          <w:p>
            <w:pPr>
              <w:jc w:val="center"/>
              <w:rPr>
                <w:rFonts w:eastAsia="楷体_GB2312"/>
                <w:sz w:val="18"/>
                <w:szCs w:val="18"/>
              </w:rPr>
            </w:pPr>
            <w:r>
              <w:rPr>
                <w:rFonts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restart"/>
            <w:tcBorders>
              <w:left w:val="double" w:color="auto" w:sz="4" w:space="0"/>
            </w:tcBorders>
            <w:vAlign w:val="top"/>
          </w:tcPr>
          <w:p>
            <w:pPr>
              <w:rPr>
                <w:rFonts w:eastAsia="楷体_GB2312"/>
                <w:sz w:val="18"/>
                <w:szCs w:val="18"/>
              </w:rPr>
            </w:pPr>
          </w:p>
          <w:p>
            <w:pPr>
              <w:jc w:val="center"/>
              <w:rPr>
                <w:rFonts w:eastAsia="楷体_GB2312"/>
                <w:sz w:val="18"/>
                <w:szCs w:val="18"/>
              </w:rPr>
            </w:pPr>
            <w:r>
              <w:rPr>
                <w:rFonts w:hint="eastAsia" w:eastAsia="楷体_GB2312"/>
                <w:sz w:val="18"/>
                <w:szCs w:val="18"/>
              </w:rPr>
              <w:t>专业学位课程</w:t>
            </w:r>
          </w:p>
        </w:tc>
        <w:tc>
          <w:tcPr>
            <w:tcW w:w="2977" w:type="dxa"/>
            <w:vAlign w:val="center"/>
          </w:tcPr>
          <w:p>
            <w:pPr>
              <w:rPr>
                <w:rFonts w:eastAsia="楷体_GB2312"/>
                <w:sz w:val="18"/>
                <w:szCs w:val="18"/>
              </w:rPr>
            </w:pPr>
            <w:r>
              <w:rPr>
                <w:rFonts w:hint="eastAsia" w:eastAsia="楷体_GB2312"/>
                <w:sz w:val="18"/>
                <w:szCs w:val="18"/>
              </w:rPr>
              <w:t>高分子合成新方法</w:t>
            </w:r>
          </w:p>
        </w:tc>
        <w:tc>
          <w:tcPr>
            <w:tcW w:w="648" w:type="dxa"/>
            <w:vAlign w:val="top"/>
          </w:tcPr>
          <w:p>
            <w:pPr>
              <w:jc w:val="center"/>
              <w:rPr>
                <w:rFonts w:eastAsia="楷体_GB2312"/>
                <w:sz w:val="18"/>
                <w:szCs w:val="18"/>
              </w:rPr>
            </w:pPr>
            <w:r>
              <w:rPr>
                <w:rFonts w:eastAsia="楷体_GB2312"/>
                <w:sz w:val="18"/>
                <w:szCs w:val="18"/>
              </w:rPr>
              <w:t>32</w:t>
            </w:r>
          </w:p>
        </w:tc>
        <w:tc>
          <w:tcPr>
            <w:tcW w:w="835" w:type="dxa"/>
            <w:vAlign w:val="top"/>
          </w:tcPr>
          <w:p>
            <w:pPr>
              <w:jc w:val="center"/>
              <w:rPr>
                <w:rFonts w:eastAsia="楷体_GB2312"/>
                <w:sz w:val="18"/>
                <w:szCs w:val="18"/>
              </w:rPr>
            </w:pPr>
            <w:r>
              <w:rPr>
                <w:rFonts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restart"/>
            <w:tcBorders>
              <w:right w:val="double" w:color="auto" w:sz="4" w:space="0"/>
            </w:tcBorders>
            <w:vAlign w:val="top"/>
          </w:tcPr>
          <w:p>
            <w:pPr>
              <w:rPr>
                <w:rFonts w:eastAsia="楷体_GB2312"/>
                <w:sz w:val="18"/>
                <w:szCs w:val="18"/>
              </w:rPr>
            </w:pPr>
            <w:r>
              <w:rPr>
                <w:rFonts w:hint="eastAsia" w:eastAsia="楷体_GB2312"/>
                <w:sz w:val="18"/>
                <w:szCs w:val="18"/>
              </w:rPr>
              <w:t>一级学科必修</w:t>
            </w:r>
            <w:r>
              <w:rPr>
                <w:rFonts w:eastAsia="楷体_GB2312"/>
                <w:sz w:val="18"/>
              </w:rPr>
              <w:t>不少于</w:t>
            </w:r>
            <w:r>
              <w:rPr>
                <w:rFonts w:hint="eastAsia" w:eastAsia="楷体_GB2312"/>
                <w:sz w:val="18"/>
              </w:rPr>
              <w:t>4</w:t>
            </w:r>
            <w:r>
              <w:rPr>
                <w:rFonts w:eastAsia="楷体_GB2312"/>
                <w:sz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高分子材料结构与性能</w:t>
            </w:r>
          </w:p>
        </w:tc>
        <w:tc>
          <w:tcPr>
            <w:tcW w:w="648" w:type="dxa"/>
            <w:vAlign w:val="top"/>
          </w:tcPr>
          <w:p>
            <w:pPr>
              <w:jc w:val="center"/>
              <w:rPr>
                <w:rFonts w:eastAsia="楷体_GB2312"/>
                <w:sz w:val="18"/>
                <w:szCs w:val="18"/>
              </w:rPr>
            </w:pPr>
            <w:r>
              <w:rPr>
                <w:rFonts w:eastAsia="楷体_GB2312"/>
                <w:sz w:val="18"/>
                <w:szCs w:val="18"/>
              </w:rPr>
              <w:t>32</w:t>
            </w:r>
          </w:p>
        </w:tc>
        <w:tc>
          <w:tcPr>
            <w:tcW w:w="835" w:type="dxa"/>
            <w:vAlign w:val="top"/>
          </w:tcPr>
          <w:p>
            <w:pPr>
              <w:jc w:val="center"/>
              <w:rPr>
                <w:rFonts w:eastAsia="楷体_GB2312"/>
                <w:sz w:val="18"/>
                <w:szCs w:val="18"/>
              </w:rPr>
            </w:pPr>
            <w:r>
              <w:rPr>
                <w:rFonts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高分子材料改性</w:t>
            </w:r>
          </w:p>
        </w:tc>
        <w:tc>
          <w:tcPr>
            <w:tcW w:w="648" w:type="dxa"/>
            <w:vAlign w:val="top"/>
          </w:tcPr>
          <w:p>
            <w:pPr>
              <w:jc w:val="center"/>
              <w:rPr>
                <w:rFonts w:eastAsia="楷体_GB2312"/>
                <w:sz w:val="18"/>
                <w:szCs w:val="18"/>
              </w:rPr>
            </w:pPr>
            <w:r>
              <w:rPr>
                <w:rFonts w:eastAsia="楷体_GB2312"/>
                <w:sz w:val="18"/>
                <w:szCs w:val="18"/>
              </w:rPr>
              <w:t>32</w:t>
            </w:r>
          </w:p>
        </w:tc>
        <w:tc>
          <w:tcPr>
            <w:tcW w:w="835" w:type="dxa"/>
            <w:vAlign w:val="top"/>
          </w:tcPr>
          <w:p>
            <w:pPr>
              <w:jc w:val="center"/>
              <w:rPr>
                <w:rFonts w:eastAsia="楷体_GB2312"/>
                <w:sz w:val="18"/>
                <w:szCs w:val="18"/>
              </w:rPr>
            </w:pPr>
            <w:r>
              <w:rPr>
                <w:rFonts w:eastAsia="楷体_GB2312"/>
                <w:sz w:val="18"/>
                <w:szCs w:val="18"/>
              </w:rPr>
              <w:t>2</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现代高分子化工</w:t>
            </w:r>
          </w:p>
        </w:tc>
        <w:tc>
          <w:tcPr>
            <w:tcW w:w="648" w:type="dxa"/>
            <w:vAlign w:val="top"/>
          </w:tcPr>
          <w:p>
            <w:pPr>
              <w:jc w:val="center"/>
              <w:rPr>
                <w:rFonts w:eastAsia="楷体_GB2312"/>
                <w:sz w:val="18"/>
                <w:szCs w:val="18"/>
              </w:rPr>
            </w:pPr>
            <w:r>
              <w:rPr>
                <w:rFonts w:eastAsia="楷体_GB2312"/>
                <w:sz w:val="18"/>
                <w:szCs w:val="18"/>
              </w:rPr>
              <w:t>32</w:t>
            </w:r>
          </w:p>
        </w:tc>
        <w:tc>
          <w:tcPr>
            <w:tcW w:w="835" w:type="dxa"/>
            <w:vAlign w:val="top"/>
          </w:tcPr>
          <w:p>
            <w:pPr>
              <w:jc w:val="center"/>
              <w:rPr>
                <w:rFonts w:eastAsia="楷体_GB2312"/>
                <w:sz w:val="18"/>
                <w:szCs w:val="18"/>
              </w:rPr>
            </w:pPr>
            <w:r>
              <w:rPr>
                <w:rFonts w:eastAsia="楷体_GB2312"/>
                <w:sz w:val="18"/>
                <w:szCs w:val="18"/>
              </w:rPr>
              <w:t>2</w:t>
            </w:r>
          </w:p>
        </w:tc>
        <w:tc>
          <w:tcPr>
            <w:tcW w:w="645" w:type="dxa"/>
            <w:vAlign w:val="center"/>
          </w:tcPr>
          <w:p>
            <w:pPr>
              <w:ind w:firstLine="180" w:firstLineChars="100"/>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restart"/>
            <w:tcBorders>
              <w:left w:val="double" w:color="auto" w:sz="4" w:space="0"/>
            </w:tcBorders>
            <w:textDirection w:val="tbRlV"/>
            <w:vAlign w:val="top"/>
          </w:tcPr>
          <w:p>
            <w:pPr>
              <w:jc w:val="center"/>
              <w:rPr>
                <w:rFonts w:eastAsia="楷体_GB2312"/>
                <w:sz w:val="18"/>
                <w:szCs w:val="18"/>
              </w:rPr>
            </w:pPr>
            <w:r>
              <w:rPr>
                <w:rFonts w:hint="eastAsia" w:eastAsia="楷体_GB2312"/>
                <w:sz w:val="18"/>
                <w:szCs w:val="18"/>
              </w:rPr>
              <w:t>非   学   位   课</w:t>
            </w:r>
          </w:p>
        </w:tc>
        <w:tc>
          <w:tcPr>
            <w:tcW w:w="850" w:type="dxa"/>
            <w:vMerge w:val="restart"/>
            <w:tcBorders>
              <w:left w:val="double" w:color="auto" w:sz="4" w:space="0"/>
            </w:tcBorders>
            <w:textDirection w:val="tbRlV"/>
            <w:vAlign w:val="center"/>
          </w:tcPr>
          <w:p>
            <w:pPr>
              <w:jc w:val="center"/>
              <w:rPr>
                <w:rFonts w:eastAsia="楷体_GB2312"/>
                <w:sz w:val="18"/>
                <w:szCs w:val="18"/>
              </w:rPr>
            </w:pPr>
            <w:r>
              <w:rPr>
                <w:rFonts w:hint="eastAsia" w:eastAsia="楷体_GB2312"/>
                <w:sz w:val="18"/>
                <w:szCs w:val="18"/>
              </w:rPr>
              <w:t>共程</w:t>
            </w:r>
          </w:p>
          <w:p>
            <w:pPr>
              <w:jc w:val="center"/>
              <w:rPr>
                <w:rFonts w:eastAsia="楷体_GB2312"/>
                <w:sz w:val="18"/>
                <w:szCs w:val="18"/>
              </w:rPr>
            </w:pPr>
            <w:r>
              <w:rPr>
                <w:rFonts w:hint="eastAsia" w:eastAsia="楷体_GB2312"/>
                <w:sz w:val="18"/>
                <w:szCs w:val="18"/>
              </w:rPr>
              <w:t>公课</w:t>
            </w:r>
          </w:p>
        </w:tc>
        <w:tc>
          <w:tcPr>
            <w:tcW w:w="2977" w:type="dxa"/>
            <w:vAlign w:val="top"/>
          </w:tcPr>
          <w:p>
            <w:pPr>
              <w:rPr>
                <w:rFonts w:eastAsia="楷体_GB2312"/>
                <w:sz w:val="18"/>
                <w:szCs w:val="18"/>
              </w:rPr>
            </w:pPr>
            <w:r>
              <w:rPr>
                <w:rFonts w:eastAsia="楷体_GB2312"/>
                <w:sz w:val="18"/>
                <w:szCs w:val="18"/>
              </w:rPr>
              <w:t>论文写作</w:t>
            </w:r>
          </w:p>
        </w:tc>
        <w:tc>
          <w:tcPr>
            <w:tcW w:w="648" w:type="dxa"/>
            <w:vAlign w:val="top"/>
          </w:tcPr>
          <w:p>
            <w:pPr>
              <w:jc w:val="center"/>
              <w:rPr>
                <w:rFonts w:eastAsia="楷体_GB2312"/>
                <w:sz w:val="18"/>
                <w:szCs w:val="18"/>
              </w:rPr>
            </w:pPr>
            <w:r>
              <w:rPr>
                <w:rFonts w:eastAsia="楷体_GB2312"/>
                <w:sz w:val="18"/>
                <w:szCs w:val="18"/>
              </w:rPr>
              <w:t>16</w:t>
            </w:r>
          </w:p>
        </w:tc>
        <w:tc>
          <w:tcPr>
            <w:tcW w:w="835" w:type="dxa"/>
            <w:vAlign w:val="top"/>
          </w:tcPr>
          <w:p>
            <w:pPr>
              <w:jc w:val="center"/>
              <w:rPr>
                <w:rFonts w:eastAsia="楷体_GB2312"/>
                <w:sz w:val="18"/>
                <w:szCs w:val="18"/>
              </w:rPr>
            </w:pPr>
            <w:r>
              <w:rPr>
                <w:rFonts w:eastAsia="楷体_GB2312"/>
                <w:sz w:val="18"/>
                <w:szCs w:val="18"/>
              </w:rPr>
              <w:t>1</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rPr>
                <w:rFonts w:eastAsia="楷体_GB2312"/>
                <w:sz w:val="18"/>
                <w:szCs w:val="18"/>
              </w:rPr>
            </w:pPr>
          </w:p>
        </w:tc>
        <w:tc>
          <w:tcPr>
            <w:tcW w:w="645" w:type="dxa"/>
            <w:vAlign w:val="center"/>
          </w:tcPr>
          <w:p>
            <w:pP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843" w:type="dxa"/>
            <w:vMerge w:val="restart"/>
            <w:tcBorders>
              <w:right w:val="double" w:color="auto" w:sz="4" w:space="0"/>
            </w:tcBorders>
            <w:vAlign w:val="top"/>
          </w:tcPr>
          <w:p>
            <w:pPr>
              <w:rPr>
                <w:rFonts w:eastAsia="楷体_GB2312"/>
                <w:sz w:val="18"/>
                <w:szCs w:val="18"/>
              </w:rPr>
            </w:pPr>
          </w:p>
          <w:p>
            <w:pPr>
              <w:rPr>
                <w:rFonts w:eastAsia="楷体_GB2312"/>
                <w:sz w:val="18"/>
                <w:szCs w:val="18"/>
              </w:rPr>
            </w:pPr>
            <w:r>
              <w:rPr>
                <w:rFonts w:hint="eastAsia" w:eastAsia="楷体_GB2312"/>
                <w:sz w:val="18"/>
                <w:szCs w:val="18"/>
                <w:lang w:eastAsia="zh-CN"/>
              </w:rPr>
              <w:t>必</w:t>
            </w:r>
            <w:r>
              <w:rPr>
                <w:rFonts w:hint="eastAsia" w:eastAsia="楷体_GB2312"/>
                <w:sz w:val="18"/>
                <w:szCs w:val="18"/>
              </w:rPr>
              <w:t>修 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567" w:type="dxa"/>
            <w:vMerge w:val="continue"/>
            <w:tcBorders>
              <w:left w:val="double" w:color="auto" w:sz="4" w:space="0"/>
            </w:tcBorders>
            <w:vAlign w:val="top"/>
          </w:tcPr>
          <w:p>
            <w:pPr>
              <w:jc w:val="center"/>
              <w:rPr>
                <w:rFonts w:eastAsia="楷体_GB2312"/>
                <w:sz w:val="18"/>
                <w:szCs w:val="18"/>
              </w:rPr>
            </w:pPr>
          </w:p>
        </w:tc>
        <w:tc>
          <w:tcPr>
            <w:tcW w:w="850" w:type="dxa"/>
            <w:vMerge w:val="continue"/>
            <w:tcBorders>
              <w:left w:val="double" w:color="auto" w:sz="4" w:space="0"/>
            </w:tcBorders>
            <w:vAlign w:val="top"/>
          </w:tcPr>
          <w:p>
            <w:pPr>
              <w:jc w:val="center"/>
              <w:rPr>
                <w:rFonts w:eastAsia="楷体_GB2312"/>
                <w:sz w:val="18"/>
                <w:szCs w:val="18"/>
              </w:rPr>
            </w:pPr>
          </w:p>
        </w:tc>
        <w:tc>
          <w:tcPr>
            <w:tcW w:w="2977" w:type="dxa"/>
            <w:vAlign w:val="top"/>
          </w:tcPr>
          <w:p>
            <w:pPr>
              <w:rPr>
                <w:rFonts w:eastAsia="楷体_GB2312"/>
                <w:sz w:val="18"/>
                <w:szCs w:val="18"/>
              </w:rPr>
            </w:pPr>
            <w:r>
              <w:rPr>
                <w:rFonts w:eastAsia="楷体_GB2312"/>
                <w:sz w:val="18"/>
                <w:szCs w:val="18"/>
              </w:rPr>
              <w:t>公共实验</w:t>
            </w:r>
          </w:p>
        </w:tc>
        <w:tc>
          <w:tcPr>
            <w:tcW w:w="648" w:type="dxa"/>
            <w:vAlign w:val="top"/>
          </w:tcPr>
          <w:p>
            <w:pPr>
              <w:jc w:val="center"/>
              <w:rPr>
                <w:rFonts w:eastAsia="楷体_GB2312"/>
                <w:sz w:val="18"/>
                <w:szCs w:val="18"/>
              </w:rPr>
            </w:pPr>
            <w:r>
              <w:rPr>
                <w:rFonts w:eastAsia="楷体_GB2312"/>
                <w:sz w:val="18"/>
                <w:szCs w:val="18"/>
              </w:rPr>
              <w:t>16</w:t>
            </w:r>
          </w:p>
        </w:tc>
        <w:tc>
          <w:tcPr>
            <w:tcW w:w="835" w:type="dxa"/>
            <w:vAlign w:val="top"/>
          </w:tcPr>
          <w:p>
            <w:pPr>
              <w:jc w:val="center"/>
              <w:rPr>
                <w:rFonts w:eastAsia="楷体_GB2312"/>
                <w:sz w:val="18"/>
                <w:szCs w:val="18"/>
              </w:rPr>
            </w:pPr>
            <w:r>
              <w:rPr>
                <w:rFonts w:eastAsia="楷体_GB2312"/>
                <w:sz w:val="18"/>
                <w:szCs w:val="18"/>
              </w:rPr>
              <w:t>1</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jc w:val="center"/>
              <w:rPr>
                <w:rFonts w:eastAsia="楷体_GB2312"/>
                <w:sz w:val="18"/>
                <w:szCs w:val="18"/>
              </w:rPr>
            </w:pPr>
          </w:p>
        </w:tc>
        <w:tc>
          <w:tcPr>
            <w:tcW w:w="850" w:type="dxa"/>
            <w:vMerge w:val="continue"/>
            <w:tcBorders>
              <w:left w:val="double" w:color="auto" w:sz="4" w:space="0"/>
            </w:tcBorders>
            <w:vAlign w:val="top"/>
          </w:tcPr>
          <w:p>
            <w:pPr>
              <w:jc w:val="cente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学科前沿专题</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567" w:type="dxa"/>
            <w:vMerge w:val="continue"/>
            <w:tcBorders>
              <w:left w:val="double" w:color="auto" w:sz="4" w:space="0"/>
            </w:tcBorders>
            <w:vAlign w:val="top"/>
          </w:tcPr>
          <w:p>
            <w:pPr>
              <w:jc w:val="center"/>
              <w:rPr>
                <w:rFonts w:eastAsia="楷体_GB2312"/>
                <w:sz w:val="18"/>
                <w:szCs w:val="18"/>
              </w:rPr>
            </w:pPr>
          </w:p>
        </w:tc>
        <w:tc>
          <w:tcPr>
            <w:tcW w:w="850" w:type="dxa"/>
            <w:vMerge w:val="restart"/>
            <w:tcBorders>
              <w:left w:val="double" w:color="auto" w:sz="4" w:space="0"/>
            </w:tcBorders>
            <w:vAlign w:val="center"/>
          </w:tcPr>
          <w:p>
            <w:pPr>
              <w:jc w:val="center"/>
              <w:rPr>
                <w:rFonts w:eastAsia="楷体_GB2312"/>
                <w:sz w:val="18"/>
                <w:szCs w:val="18"/>
              </w:rPr>
            </w:pPr>
          </w:p>
          <w:p>
            <w:pPr>
              <w:jc w:val="center"/>
              <w:rPr>
                <w:rFonts w:eastAsia="楷体_GB2312"/>
                <w:sz w:val="18"/>
                <w:szCs w:val="18"/>
              </w:rPr>
            </w:pPr>
          </w:p>
          <w:p>
            <w:pPr>
              <w:jc w:val="center"/>
              <w:rPr>
                <w:rFonts w:eastAsia="楷体_GB2312"/>
                <w:sz w:val="18"/>
                <w:szCs w:val="18"/>
              </w:rPr>
            </w:pPr>
            <w:r>
              <w:rPr>
                <w:rFonts w:hint="eastAsia" w:eastAsia="楷体_GB2312"/>
                <w:sz w:val="18"/>
                <w:szCs w:val="18"/>
              </w:rPr>
              <w:t>专业选修课程</w:t>
            </w:r>
          </w:p>
        </w:tc>
        <w:tc>
          <w:tcPr>
            <w:tcW w:w="2977" w:type="dxa"/>
            <w:vAlign w:val="center"/>
          </w:tcPr>
          <w:p>
            <w:pPr>
              <w:rPr>
                <w:rFonts w:eastAsia="楷体_GB2312"/>
                <w:sz w:val="18"/>
                <w:szCs w:val="18"/>
              </w:rPr>
            </w:pPr>
            <w:r>
              <w:rPr>
                <w:rFonts w:hint="eastAsia" w:eastAsia="楷体_GB2312"/>
                <w:sz w:val="18"/>
                <w:szCs w:val="18"/>
              </w:rPr>
              <w:t>波谱分析及现代测试技术</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restart"/>
            <w:tcBorders>
              <w:right w:val="double" w:color="auto" w:sz="4" w:space="0"/>
            </w:tcBorders>
            <w:vAlign w:val="center"/>
          </w:tcPr>
          <w:p>
            <w:pPr>
              <w:rPr>
                <w:rFonts w:eastAsia="楷体_GB2312"/>
                <w:sz w:val="18"/>
                <w:szCs w:val="18"/>
              </w:rPr>
            </w:pPr>
          </w:p>
          <w:p>
            <w:pPr>
              <w:rPr>
                <w:rFonts w:eastAsia="楷体_GB2312"/>
                <w:sz w:val="18"/>
                <w:szCs w:val="18"/>
              </w:rPr>
            </w:pPr>
            <w:r>
              <w:rPr>
                <w:rFonts w:hint="eastAsia" w:eastAsia="楷体_GB2312"/>
                <w:sz w:val="18"/>
                <w:szCs w:val="18"/>
              </w:rPr>
              <w:t>选修学分应满足最低总学分要求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jc w:val="center"/>
              <w:rPr>
                <w:rFonts w:eastAsia="楷体_GB2312"/>
                <w:sz w:val="18"/>
                <w:szCs w:val="18"/>
              </w:rPr>
            </w:pPr>
          </w:p>
        </w:tc>
        <w:tc>
          <w:tcPr>
            <w:tcW w:w="850" w:type="dxa"/>
            <w:vMerge w:val="continue"/>
            <w:tcBorders>
              <w:left w:val="double" w:color="auto" w:sz="4" w:space="0"/>
            </w:tcBorders>
            <w:vAlign w:val="top"/>
          </w:tcPr>
          <w:p>
            <w:pPr>
              <w:jc w:val="cente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环境友好高分子</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高聚物表面与界面</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聚合物流变学</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高分子科学新进展</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聚合物基复合材料</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高分子材料加工新技术</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聚合反应工程</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567" w:type="dxa"/>
            <w:vMerge w:val="continue"/>
            <w:tcBorders>
              <w:left w:val="double" w:color="auto" w:sz="4" w:space="0"/>
            </w:tcBorders>
            <w:vAlign w:val="top"/>
          </w:tcPr>
          <w:p>
            <w:pP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top"/>
          </w:tcPr>
          <w:p>
            <w:pPr>
              <w:rPr>
                <w:rFonts w:eastAsia="楷体_GB2312"/>
                <w:sz w:val="18"/>
                <w:szCs w:val="18"/>
              </w:rPr>
            </w:pPr>
            <w:r>
              <w:rPr>
                <w:rFonts w:hint="eastAsia" w:eastAsia="楷体_GB2312"/>
                <w:sz w:val="18"/>
                <w:szCs w:val="18"/>
              </w:rPr>
              <w:t>功能高分子及应用</w:t>
            </w:r>
          </w:p>
        </w:tc>
        <w:tc>
          <w:tcPr>
            <w:tcW w:w="648" w:type="dxa"/>
            <w:vAlign w:val="top"/>
          </w:tcPr>
          <w:p>
            <w:pPr>
              <w:jc w:val="center"/>
              <w:rPr>
                <w:rFonts w:eastAsia="楷体_GB2312"/>
                <w:sz w:val="18"/>
                <w:szCs w:val="18"/>
              </w:rPr>
            </w:pPr>
            <w:r>
              <w:rPr>
                <w:rFonts w:hint="eastAsia" w:eastAsia="楷体_GB2312"/>
                <w:sz w:val="18"/>
                <w:szCs w:val="18"/>
              </w:rPr>
              <w:t>32</w:t>
            </w:r>
          </w:p>
        </w:tc>
        <w:tc>
          <w:tcPr>
            <w:tcW w:w="835" w:type="dxa"/>
            <w:vAlign w:val="top"/>
          </w:tcPr>
          <w:p>
            <w:pPr>
              <w:jc w:val="center"/>
              <w:rPr>
                <w:rFonts w:eastAsia="楷体_GB2312"/>
                <w:sz w:val="18"/>
                <w:szCs w:val="18"/>
              </w:rPr>
            </w:pPr>
            <w:r>
              <w:rPr>
                <w:rFonts w:hint="eastAsia" w:eastAsia="楷体_GB2312"/>
                <w:sz w:val="18"/>
                <w:szCs w:val="18"/>
              </w:rPr>
              <w:t>2</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843" w:type="dxa"/>
            <w:vMerge w:val="continue"/>
            <w:tcBorders>
              <w:right w:val="double" w:color="auto" w:sz="4" w:space="0"/>
            </w:tcBorders>
            <w:vAlign w:val="top"/>
          </w:tcPr>
          <w:p>
            <w:pP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2" w:hRule="atLeast"/>
          <w:jc w:val="center"/>
        </w:trPr>
        <w:tc>
          <w:tcPr>
            <w:tcW w:w="567" w:type="dxa"/>
            <w:tcBorders>
              <w:left w:val="double" w:color="auto" w:sz="4" w:space="0"/>
            </w:tcBorders>
            <w:vAlign w:val="top"/>
          </w:tcPr>
          <w:p>
            <w:pPr>
              <w:jc w:val="center"/>
              <w:rPr>
                <w:rFonts w:eastAsia="楷体_GB2312"/>
                <w:sz w:val="18"/>
                <w:szCs w:val="18"/>
              </w:rPr>
            </w:pPr>
            <w:r>
              <w:rPr>
                <w:rFonts w:hint="eastAsia" w:eastAsia="楷体_GB2312"/>
                <w:sz w:val="18"/>
                <w:szCs w:val="18"/>
              </w:rPr>
              <w:t>实践</w:t>
            </w:r>
            <w:r>
              <w:rPr>
                <w:rFonts w:eastAsia="楷体_GB2312"/>
                <w:sz w:val="18"/>
                <w:szCs w:val="18"/>
              </w:rPr>
              <w:t>环节</w:t>
            </w:r>
          </w:p>
        </w:tc>
        <w:tc>
          <w:tcPr>
            <w:tcW w:w="850" w:type="dxa"/>
            <w:tcBorders>
              <w:left w:val="double" w:color="auto" w:sz="4" w:space="0"/>
            </w:tcBorders>
            <w:vAlign w:val="center"/>
          </w:tcPr>
          <w:p>
            <w:pPr>
              <w:jc w:val="center"/>
              <w:rPr>
                <w:rFonts w:eastAsia="楷体_GB2312"/>
                <w:sz w:val="18"/>
                <w:szCs w:val="18"/>
              </w:rPr>
            </w:pPr>
          </w:p>
        </w:tc>
        <w:tc>
          <w:tcPr>
            <w:tcW w:w="7883" w:type="dxa"/>
            <w:gridSpan w:val="8"/>
            <w:tcBorders>
              <w:right w:val="double" w:color="auto" w:sz="4" w:space="0"/>
            </w:tcBorders>
            <w:vAlign w:val="center"/>
          </w:tcPr>
          <w:p>
            <w:pPr>
              <w:jc w:val="center"/>
              <w:rPr>
                <w:rFonts w:eastAsia="楷体_GB2312"/>
                <w:sz w:val="18"/>
                <w:szCs w:val="18"/>
                <w:u w:val="single"/>
              </w:rPr>
            </w:pPr>
            <w:r>
              <w:rPr>
                <w:rFonts w:hint="eastAsia" w:eastAsia="楷体_GB2312"/>
                <w:sz w:val="18"/>
                <w:szCs w:val="18"/>
                <w:u w:val="single"/>
              </w:rPr>
              <w:t>6学分，5000字实践报告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67" w:type="dxa"/>
            <w:vMerge w:val="restart"/>
            <w:tcBorders>
              <w:left w:val="double" w:color="auto" w:sz="4" w:space="0"/>
            </w:tcBorders>
            <w:vAlign w:val="top"/>
          </w:tcPr>
          <w:p>
            <w:pPr>
              <w:jc w:val="center"/>
              <w:rPr>
                <w:rFonts w:eastAsia="楷体_GB2312"/>
                <w:sz w:val="18"/>
                <w:szCs w:val="18"/>
              </w:rPr>
            </w:pPr>
          </w:p>
          <w:p>
            <w:pPr>
              <w:jc w:val="center"/>
              <w:rPr>
                <w:rFonts w:eastAsia="楷体_GB2312"/>
                <w:sz w:val="18"/>
                <w:szCs w:val="18"/>
              </w:rPr>
            </w:pPr>
            <w:r>
              <w:rPr>
                <w:rFonts w:hint="eastAsia" w:eastAsia="楷体_GB2312"/>
                <w:sz w:val="18"/>
                <w:szCs w:val="18"/>
              </w:rPr>
              <w:t>必修</w:t>
            </w:r>
            <w:r>
              <w:rPr>
                <w:rFonts w:eastAsia="楷体_GB2312"/>
                <w:sz w:val="18"/>
                <w:szCs w:val="18"/>
              </w:rPr>
              <w:t>环节</w:t>
            </w:r>
          </w:p>
        </w:tc>
        <w:tc>
          <w:tcPr>
            <w:tcW w:w="850" w:type="dxa"/>
            <w:vMerge w:val="restart"/>
            <w:tcBorders>
              <w:left w:val="double" w:color="auto" w:sz="4" w:space="0"/>
            </w:tcBorders>
            <w:vAlign w:val="top"/>
          </w:tcPr>
          <w:p>
            <w:pPr>
              <w:rPr>
                <w:rFonts w:eastAsia="楷体_GB2312"/>
                <w:sz w:val="18"/>
                <w:szCs w:val="18"/>
              </w:rPr>
            </w:pPr>
          </w:p>
        </w:tc>
        <w:tc>
          <w:tcPr>
            <w:tcW w:w="2977" w:type="dxa"/>
            <w:vAlign w:val="center"/>
          </w:tcPr>
          <w:p>
            <w:pPr>
              <w:rPr>
                <w:rFonts w:eastAsia="楷体_GB2312"/>
                <w:sz w:val="18"/>
                <w:szCs w:val="18"/>
              </w:rPr>
            </w:pPr>
            <w:r>
              <w:rPr>
                <w:rFonts w:eastAsia="楷体_GB2312"/>
                <w:sz w:val="18"/>
                <w:szCs w:val="18"/>
              </w:rPr>
              <w:t>文献综述与开题报告</w:t>
            </w:r>
          </w:p>
        </w:tc>
        <w:tc>
          <w:tcPr>
            <w:tcW w:w="648" w:type="dxa"/>
            <w:vAlign w:val="center"/>
          </w:tcPr>
          <w:p>
            <w:pPr>
              <w:jc w:val="center"/>
              <w:rPr>
                <w:rFonts w:eastAsia="楷体_GB2312"/>
                <w:sz w:val="18"/>
                <w:szCs w:val="18"/>
              </w:rPr>
            </w:pPr>
          </w:p>
        </w:tc>
        <w:tc>
          <w:tcPr>
            <w:tcW w:w="835" w:type="dxa"/>
            <w:vAlign w:val="center"/>
          </w:tcPr>
          <w:p>
            <w:pPr>
              <w:jc w:val="center"/>
              <w:rPr>
                <w:rFonts w:eastAsia="楷体_GB2312"/>
                <w:sz w:val="18"/>
                <w:szCs w:val="18"/>
              </w:rPr>
            </w:pPr>
            <w:r>
              <w:rPr>
                <w:rFonts w:eastAsia="楷体_GB2312"/>
                <w:sz w:val="18"/>
                <w:szCs w:val="18"/>
              </w:rPr>
              <w:t>1</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843" w:type="dxa"/>
            <w:vMerge w:val="restart"/>
            <w:tcBorders>
              <w:right w:val="double" w:color="auto" w:sz="4" w:space="0"/>
            </w:tcBorders>
            <w:vAlign w:val="top"/>
          </w:tcPr>
          <w:p>
            <w:pPr>
              <w:jc w:val="center"/>
              <w:rPr>
                <w:rFonts w:eastAsia="楷体_GB2312"/>
                <w:sz w:val="18"/>
                <w:szCs w:val="18"/>
              </w:rPr>
            </w:pPr>
            <w:r>
              <w:rPr>
                <w:rFonts w:hint="eastAsia" w:eastAsia="楷体_GB2312"/>
                <w:sz w:val="18"/>
                <w:szCs w:val="18"/>
              </w:rPr>
              <w:t>不</w:t>
            </w:r>
            <w:r>
              <w:rPr>
                <w:rFonts w:eastAsia="楷体_GB2312"/>
                <w:sz w:val="18"/>
                <w:szCs w:val="18"/>
              </w:rPr>
              <w:t>计入</w:t>
            </w:r>
            <w:r>
              <w:rPr>
                <w:rFonts w:hint="eastAsia" w:eastAsia="楷体_GB2312"/>
                <w:sz w:val="18"/>
                <w:szCs w:val="18"/>
              </w:rPr>
              <w:t>规定学分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67" w:type="dxa"/>
            <w:vMerge w:val="continue"/>
            <w:tcBorders>
              <w:left w:val="double" w:color="auto" w:sz="4" w:space="0"/>
            </w:tcBorders>
            <w:vAlign w:val="top"/>
          </w:tcPr>
          <w:p>
            <w:pPr>
              <w:jc w:val="cente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center"/>
          </w:tcPr>
          <w:p>
            <w:pPr>
              <w:rPr>
                <w:rFonts w:eastAsia="楷体_GB2312"/>
                <w:color w:val="800000"/>
                <w:sz w:val="18"/>
                <w:szCs w:val="18"/>
              </w:rPr>
            </w:pPr>
            <w:r>
              <w:rPr>
                <w:rFonts w:hint="eastAsia" w:eastAsia="楷体_GB2312"/>
                <w:sz w:val="18"/>
                <w:szCs w:val="18"/>
              </w:rPr>
              <w:t>学术交流</w:t>
            </w:r>
          </w:p>
        </w:tc>
        <w:tc>
          <w:tcPr>
            <w:tcW w:w="648" w:type="dxa"/>
            <w:vAlign w:val="center"/>
          </w:tcPr>
          <w:p>
            <w:pPr>
              <w:jc w:val="center"/>
              <w:rPr>
                <w:rFonts w:eastAsia="楷体_GB2312"/>
                <w:sz w:val="18"/>
                <w:szCs w:val="18"/>
              </w:rPr>
            </w:pPr>
          </w:p>
        </w:tc>
        <w:tc>
          <w:tcPr>
            <w:tcW w:w="835" w:type="dxa"/>
            <w:vAlign w:val="center"/>
          </w:tcPr>
          <w:p>
            <w:pPr>
              <w:jc w:val="center"/>
              <w:rPr>
                <w:rFonts w:eastAsia="楷体_GB2312"/>
                <w:sz w:val="18"/>
                <w:szCs w:val="18"/>
              </w:rPr>
            </w:pPr>
            <w:r>
              <w:rPr>
                <w:rFonts w:hint="eastAsia" w:eastAsia="楷体_GB2312"/>
                <w:sz w:val="18"/>
                <w:szCs w:val="18"/>
              </w:rPr>
              <w:t>1</w:t>
            </w:r>
          </w:p>
        </w:tc>
        <w:tc>
          <w:tcPr>
            <w:tcW w:w="645" w:type="dxa"/>
            <w:vAlign w:val="top"/>
          </w:tcPr>
          <w:p>
            <w:pPr>
              <w:spacing w:line="360" w:lineRule="exact"/>
              <w:jc w:val="center"/>
              <w:rPr>
                <w:rFonts w:ascii="宋体" w:hAnsi="宋体"/>
                <w:szCs w:val="21"/>
              </w:rPr>
            </w:pPr>
            <w:r>
              <w:rPr>
                <w:rFonts w:eastAsia="楷体_GB2312"/>
                <w:sz w:val="18"/>
                <w:szCs w:val="18"/>
              </w:rPr>
              <w:t>√</w:t>
            </w:r>
          </w:p>
        </w:tc>
        <w:tc>
          <w:tcPr>
            <w:tcW w:w="645" w:type="dxa"/>
            <w:vAlign w:val="top"/>
          </w:tcPr>
          <w:p>
            <w:pPr>
              <w:spacing w:line="360" w:lineRule="exact"/>
              <w:jc w:val="center"/>
              <w:rPr>
                <w:rFonts w:eastAsia="楷体_GB2312"/>
                <w:sz w:val="18"/>
                <w:szCs w:val="18"/>
              </w:rPr>
            </w:pPr>
            <w:r>
              <w:rPr>
                <w:rFonts w:eastAsia="楷体_GB2312"/>
                <w:sz w:val="18"/>
                <w:szCs w:val="18"/>
              </w:rPr>
              <w:t>√</w:t>
            </w:r>
          </w:p>
        </w:tc>
        <w:tc>
          <w:tcPr>
            <w:tcW w:w="645" w:type="dxa"/>
            <w:vAlign w:val="top"/>
          </w:tcPr>
          <w:p>
            <w:pPr>
              <w:spacing w:line="360" w:lineRule="exact"/>
              <w:jc w:val="center"/>
              <w:rPr>
                <w:rFonts w:ascii="宋体" w:hAnsi="宋体"/>
                <w:szCs w:val="21"/>
              </w:rPr>
            </w:pPr>
          </w:p>
        </w:tc>
        <w:tc>
          <w:tcPr>
            <w:tcW w:w="645" w:type="dxa"/>
            <w:vAlign w:val="center"/>
          </w:tcPr>
          <w:p>
            <w:pPr>
              <w:jc w:val="center"/>
              <w:rPr>
                <w:rFonts w:eastAsia="楷体_GB2312"/>
                <w:sz w:val="18"/>
                <w:szCs w:val="18"/>
              </w:rPr>
            </w:pPr>
            <w:r>
              <w:rPr>
                <w:rFonts w:eastAsia="楷体_GB2312"/>
                <w:sz w:val="18"/>
                <w:szCs w:val="18"/>
              </w:rPr>
              <w:t>√</w:t>
            </w:r>
          </w:p>
        </w:tc>
        <w:tc>
          <w:tcPr>
            <w:tcW w:w="843" w:type="dxa"/>
            <w:vMerge w:val="continue"/>
            <w:tcBorders>
              <w:right w:val="double" w:color="auto" w:sz="4" w:space="0"/>
            </w:tcBorders>
            <w:vAlign w:val="top"/>
          </w:tcPr>
          <w:p>
            <w:pPr>
              <w:jc w:val="center"/>
              <w:rPr>
                <w:rFonts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567" w:type="dxa"/>
            <w:vMerge w:val="continue"/>
            <w:tcBorders>
              <w:left w:val="double" w:color="auto" w:sz="4" w:space="0"/>
            </w:tcBorders>
            <w:vAlign w:val="top"/>
          </w:tcPr>
          <w:p>
            <w:pPr>
              <w:jc w:val="center"/>
              <w:rPr>
                <w:rFonts w:eastAsia="楷体_GB2312"/>
                <w:sz w:val="18"/>
                <w:szCs w:val="18"/>
              </w:rPr>
            </w:pPr>
          </w:p>
        </w:tc>
        <w:tc>
          <w:tcPr>
            <w:tcW w:w="850" w:type="dxa"/>
            <w:vMerge w:val="continue"/>
            <w:tcBorders>
              <w:left w:val="double" w:color="auto" w:sz="4" w:space="0"/>
            </w:tcBorders>
            <w:vAlign w:val="top"/>
          </w:tcPr>
          <w:p>
            <w:pPr>
              <w:rPr>
                <w:rFonts w:eastAsia="楷体_GB2312"/>
                <w:sz w:val="18"/>
                <w:szCs w:val="18"/>
              </w:rPr>
            </w:pPr>
          </w:p>
        </w:tc>
        <w:tc>
          <w:tcPr>
            <w:tcW w:w="2977" w:type="dxa"/>
            <w:vAlign w:val="center"/>
          </w:tcPr>
          <w:p>
            <w:pPr>
              <w:rPr>
                <w:rFonts w:eastAsia="楷体_GB2312"/>
                <w:sz w:val="18"/>
                <w:szCs w:val="18"/>
              </w:rPr>
            </w:pPr>
            <w:r>
              <w:rPr>
                <w:rFonts w:hint="eastAsia" w:eastAsia="楷体_GB2312"/>
                <w:sz w:val="18"/>
                <w:szCs w:val="18"/>
              </w:rPr>
              <w:t>工作技术实践（助管、助教）</w:t>
            </w:r>
          </w:p>
        </w:tc>
        <w:tc>
          <w:tcPr>
            <w:tcW w:w="648" w:type="dxa"/>
            <w:vAlign w:val="center"/>
          </w:tcPr>
          <w:p>
            <w:pPr>
              <w:jc w:val="center"/>
              <w:rPr>
                <w:rFonts w:eastAsia="楷体_GB2312"/>
                <w:sz w:val="18"/>
                <w:szCs w:val="18"/>
              </w:rPr>
            </w:pPr>
          </w:p>
        </w:tc>
        <w:tc>
          <w:tcPr>
            <w:tcW w:w="835" w:type="dxa"/>
            <w:vAlign w:val="center"/>
          </w:tcPr>
          <w:p>
            <w:pPr>
              <w:jc w:val="center"/>
              <w:rPr>
                <w:rFonts w:eastAsia="楷体_GB2312"/>
                <w:sz w:val="18"/>
                <w:szCs w:val="18"/>
              </w:rPr>
            </w:pPr>
            <w:r>
              <w:rPr>
                <w:rFonts w:hint="eastAsia" w:eastAsia="楷体_GB2312"/>
                <w:sz w:val="18"/>
                <w:szCs w:val="18"/>
              </w:rPr>
              <w:t>1</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r>
              <w:rPr>
                <w:rFonts w:eastAsia="楷体_GB2312"/>
                <w:sz w:val="18"/>
                <w:szCs w:val="18"/>
              </w:rPr>
              <w:t>√</w:t>
            </w:r>
          </w:p>
        </w:tc>
        <w:tc>
          <w:tcPr>
            <w:tcW w:w="645" w:type="dxa"/>
            <w:vAlign w:val="center"/>
          </w:tcPr>
          <w:p>
            <w:pPr>
              <w:jc w:val="center"/>
              <w:rPr>
                <w:rFonts w:eastAsia="楷体_GB2312"/>
                <w:sz w:val="18"/>
                <w:szCs w:val="18"/>
              </w:rPr>
            </w:pPr>
          </w:p>
        </w:tc>
        <w:tc>
          <w:tcPr>
            <w:tcW w:w="645" w:type="dxa"/>
            <w:vAlign w:val="center"/>
          </w:tcPr>
          <w:p>
            <w:pPr>
              <w:jc w:val="center"/>
              <w:rPr>
                <w:rFonts w:eastAsia="楷体_GB2312"/>
                <w:sz w:val="18"/>
                <w:szCs w:val="18"/>
              </w:rPr>
            </w:pPr>
            <w:r>
              <w:rPr>
                <w:rFonts w:eastAsia="楷体_GB2312"/>
                <w:sz w:val="18"/>
                <w:szCs w:val="18"/>
              </w:rPr>
              <w:t>√</w:t>
            </w:r>
          </w:p>
        </w:tc>
        <w:tc>
          <w:tcPr>
            <w:tcW w:w="843" w:type="dxa"/>
            <w:vMerge w:val="continue"/>
            <w:tcBorders>
              <w:right w:val="double" w:color="auto" w:sz="4" w:space="0"/>
            </w:tcBorders>
            <w:vAlign w:val="top"/>
          </w:tcPr>
          <w:p>
            <w:pPr>
              <w:jc w:val="center"/>
              <w:rPr>
                <w:rFonts w:eastAsia="楷体_GB2312"/>
                <w:sz w:val="18"/>
                <w:szCs w:val="18"/>
              </w:rPr>
            </w:pPr>
          </w:p>
        </w:tc>
      </w:tr>
    </w:tbl>
    <w:p>
      <w:pPr>
        <w:jc w:val="center"/>
        <w:rPr>
          <w:rFonts w:ascii="宋体" w:hAnsi="宋体"/>
          <w:b/>
          <w:sz w:val="28"/>
          <w:szCs w:val="28"/>
        </w:rPr>
      </w:pPr>
    </w:p>
    <w:p>
      <w:pPr>
        <w:jc w:val="center"/>
        <w:rPr>
          <w:rFonts w:ascii="宋体" w:hAnsi="宋体"/>
          <w:b/>
          <w:sz w:val="28"/>
          <w:szCs w:val="28"/>
        </w:rPr>
      </w:pPr>
    </w:p>
    <w:sectPr>
      <w:headerReference r:id="rId4" w:type="default"/>
      <w:footerReference r:id="rId5" w:type="default"/>
      <w:pgSz w:w="11906" w:h="16838"/>
      <w:pgMar w:top="1270" w:right="1179" w:bottom="1100" w:left="1689" w:header="851" w:footer="992" w:gutter="0"/>
      <w:paperSrc w:first="0" w:oth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楷体_GB2312">
    <w:altName w:val="楷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eastAsia="宋体"/>
        <w:lang w:val="en-US" w:eastAsia="zh-CN"/>
      </w:rPr>
    </w:pPr>
    <w:r>
      <w:rPr>
        <w:rFonts w:ascii="Times New Roman" w:hAnsi="Times New Roman" w:eastAsia="宋体" w:cs="Times New Roman"/>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hint="eastAsia" w:eastAsia="宋体"/>
        <w:lang w:eastAsia="zh-CN"/>
      </w:rPr>
    </w:pPr>
    <w:r>
      <w:rPr>
        <w:rFonts w:hint="eastAsia"/>
        <w:lang w:eastAsia="zh-CN"/>
      </w:rPr>
      <w:t>材料工程领域全日制专业硕士研究生培养方案修订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484597">
    <w:nsid w:val="02790135"/>
    <w:multiLevelType w:val="multilevel"/>
    <w:tmpl w:val="02790135"/>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06182264">
    <w:nsid w:val="719E0878"/>
    <w:multiLevelType w:val="multilevel"/>
    <w:tmpl w:val="719E087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32027944">
    <w:nsid w:val="4F652228"/>
    <w:multiLevelType w:val="multilevel"/>
    <w:tmpl w:val="4F652228"/>
    <w:lvl w:ilvl="0" w:tentative="1">
      <w:start w:val="1"/>
      <w:numFmt w:val="decimal"/>
      <w:lvlText w:val="%1)"/>
      <w:lvlJc w:val="left"/>
      <w:pPr>
        <w:tabs>
          <w:tab w:val="left" w:pos="842"/>
        </w:tabs>
        <w:ind w:left="842" w:hanging="420"/>
      </w:pPr>
    </w:lvl>
    <w:lvl w:ilvl="1" w:tentative="1">
      <w:start w:val="1"/>
      <w:numFmt w:val="bullet"/>
      <w:lvlText w:val=""/>
      <w:lvlJc w:val="left"/>
      <w:pPr>
        <w:tabs>
          <w:tab w:val="left" w:pos="1262"/>
        </w:tabs>
        <w:ind w:left="1262" w:hanging="420"/>
      </w:pPr>
      <w:rPr>
        <w:rFonts w:hint="default" w:ascii="Wingdings" w:hAnsi="Wingdings"/>
      </w:rPr>
    </w:lvl>
    <w:lvl w:ilvl="2" w:tentative="1">
      <w:start w:val="1"/>
      <w:numFmt w:val="lowerRoman"/>
      <w:lvlText w:val="%3."/>
      <w:lvlJc w:val="right"/>
      <w:pPr>
        <w:tabs>
          <w:tab w:val="left" w:pos="1682"/>
        </w:tabs>
        <w:ind w:left="1682" w:hanging="420"/>
      </w:pPr>
    </w:lvl>
    <w:lvl w:ilvl="3" w:tentative="1">
      <w:start w:val="1"/>
      <w:numFmt w:val="decimal"/>
      <w:lvlText w:val="%4."/>
      <w:lvlJc w:val="left"/>
      <w:pPr>
        <w:tabs>
          <w:tab w:val="left" w:pos="2102"/>
        </w:tabs>
        <w:ind w:left="2102" w:hanging="420"/>
      </w:pPr>
    </w:lvl>
    <w:lvl w:ilvl="4" w:tentative="1">
      <w:start w:val="1"/>
      <w:numFmt w:val="lowerLetter"/>
      <w:lvlText w:val="%5)"/>
      <w:lvlJc w:val="left"/>
      <w:pPr>
        <w:tabs>
          <w:tab w:val="left" w:pos="2522"/>
        </w:tabs>
        <w:ind w:left="2522" w:hanging="420"/>
      </w:pPr>
    </w:lvl>
    <w:lvl w:ilvl="5" w:tentative="1">
      <w:start w:val="1"/>
      <w:numFmt w:val="lowerRoman"/>
      <w:lvlText w:val="%6."/>
      <w:lvlJc w:val="right"/>
      <w:pPr>
        <w:tabs>
          <w:tab w:val="left" w:pos="2942"/>
        </w:tabs>
        <w:ind w:left="2942" w:hanging="420"/>
      </w:pPr>
    </w:lvl>
    <w:lvl w:ilvl="6" w:tentative="1">
      <w:start w:val="1"/>
      <w:numFmt w:val="decimal"/>
      <w:lvlText w:val="%7."/>
      <w:lvlJc w:val="left"/>
      <w:pPr>
        <w:tabs>
          <w:tab w:val="left" w:pos="3362"/>
        </w:tabs>
        <w:ind w:left="3362" w:hanging="420"/>
      </w:pPr>
    </w:lvl>
    <w:lvl w:ilvl="7" w:tentative="1">
      <w:start w:val="1"/>
      <w:numFmt w:val="lowerLetter"/>
      <w:lvlText w:val="%8)"/>
      <w:lvlJc w:val="left"/>
      <w:pPr>
        <w:tabs>
          <w:tab w:val="left" w:pos="3782"/>
        </w:tabs>
        <w:ind w:left="3782" w:hanging="420"/>
      </w:pPr>
    </w:lvl>
    <w:lvl w:ilvl="8" w:tentative="1">
      <w:start w:val="1"/>
      <w:numFmt w:val="lowerRoman"/>
      <w:lvlText w:val="%9."/>
      <w:lvlJc w:val="right"/>
      <w:pPr>
        <w:tabs>
          <w:tab w:val="left" w:pos="4202"/>
        </w:tabs>
        <w:ind w:left="4202" w:hanging="420"/>
      </w:pPr>
    </w:lvl>
  </w:abstractNum>
  <w:abstractNum w:abstractNumId="1402214806">
    <w:nsid w:val="53941996"/>
    <w:multiLevelType w:val="multilevel"/>
    <w:tmpl w:val="53941996"/>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8994942">
    <w:nsid w:val="11D24CFE"/>
    <w:multiLevelType w:val="multilevel"/>
    <w:tmpl w:val="11D24CFE"/>
    <w:lvl w:ilvl="0" w:tentative="1">
      <w:start w:val="1"/>
      <w:numFmt w:val="decimal"/>
      <w:lvlText w:val="%1)"/>
      <w:lvlJc w:val="left"/>
      <w:pPr>
        <w:tabs>
          <w:tab w:val="left" w:pos="840"/>
        </w:tabs>
        <w:ind w:left="840" w:hanging="420"/>
      </w:pPr>
    </w:lvl>
    <w:lvl w:ilvl="1" w:tentative="1">
      <w:start w:val="5"/>
      <w:numFmt w:val="decimal"/>
      <w:lvlText w:val="%2）"/>
      <w:lvlJc w:val="left"/>
      <w:pPr>
        <w:tabs>
          <w:tab w:val="left" w:pos="1200"/>
        </w:tabs>
        <w:ind w:left="1200" w:hanging="360"/>
      </w:pPr>
      <w:rPr>
        <w:rFonts w:hint="default"/>
        <w:color w:val="0000FF"/>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435019532">
    <w:nsid w:val="5588A90C"/>
    <w:multiLevelType w:val="singleLevel"/>
    <w:tmpl w:val="5588A90C"/>
    <w:lvl w:ilvl="0" w:tentative="1">
      <w:start w:val="1"/>
      <w:numFmt w:val="chineseCounting"/>
      <w:suff w:val="space"/>
      <w:lvlText w:val="%1."/>
      <w:lvlJc w:val="left"/>
    </w:lvl>
  </w:abstractNum>
  <w:num w:numId="1">
    <w:abstractNumId w:val="1435019532"/>
  </w:num>
  <w:num w:numId="2">
    <w:abstractNumId w:val="1906182264"/>
  </w:num>
  <w:num w:numId="3">
    <w:abstractNumId w:val="41484597"/>
  </w:num>
  <w:num w:numId="4">
    <w:abstractNumId w:val="1402214806"/>
  </w:num>
  <w:num w:numId="5">
    <w:abstractNumId w:val="1332027944"/>
  </w:num>
  <w:num w:numId="6">
    <w:abstractNumId w:val="2989949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7780"/>
    <w:rsid w:val="0002145D"/>
    <w:rsid w:val="000244BE"/>
    <w:rsid w:val="0004341D"/>
    <w:rsid w:val="000D24EA"/>
    <w:rsid w:val="00116DAD"/>
    <w:rsid w:val="00145FD3"/>
    <w:rsid w:val="00170616"/>
    <w:rsid w:val="001B1F78"/>
    <w:rsid w:val="001C0698"/>
    <w:rsid w:val="001E3ADC"/>
    <w:rsid w:val="001F3004"/>
    <w:rsid w:val="00214E02"/>
    <w:rsid w:val="00271E5C"/>
    <w:rsid w:val="002B545B"/>
    <w:rsid w:val="002D3085"/>
    <w:rsid w:val="003069AE"/>
    <w:rsid w:val="00325009"/>
    <w:rsid w:val="003720B7"/>
    <w:rsid w:val="003747FF"/>
    <w:rsid w:val="00425A74"/>
    <w:rsid w:val="004512D7"/>
    <w:rsid w:val="00462CFD"/>
    <w:rsid w:val="00474E1D"/>
    <w:rsid w:val="004E18F9"/>
    <w:rsid w:val="00506B10"/>
    <w:rsid w:val="00543B5C"/>
    <w:rsid w:val="00594F5D"/>
    <w:rsid w:val="005B0EB2"/>
    <w:rsid w:val="006064A1"/>
    <w:rsid w:val="006F0FE5"/>
    <w:rsid w:val="00753BD9"/>
    <w:rsid w:val="00796499"/>
    <w:rsid w:val="007A6CA5"/>
    <w:rsid w:val="007D002F"/>
    <w:rsid w:val="007D2832"/>
    <w:rsid w:val="00820FD0"/>
    <w:rsid w:val="00821B9A"/>
    <w:rsid w:val="008622C4"/>
    <w:rsid w:val="008D2091"/>
    <w:rsid w:val="008F4ABC"/>
    <w:rsid w:val="00921DEC"/>
    <w:rsid w:val="00936E2A"/>
    <w:rsid w:val="00955A1D"/>
    <w:rsid w:val="0098771C"/>
    <w:rsid w:val="009B5213"/>
    <w:rsid w:val="009E408A"/>
    <w:rsid w:val="00A058C2"/>
    <w:rsid w:val="00A322C6"/>
    <w:rsid w:val="00A36186"/>
    <w:rsid w:val="00A607E0"/>
    <w:rsid w:val="00A61143"/>
    <w:rsid w:val="00A91C1A"/>
    <w:rsid w:val="00B06CEC"/>
    <w:rsid w:val="00B57780"/>
    <w:rsid w:val="00BA55C1"/>
    <w:rsid w:val="00C62184"/>
    <w:rsid w:val="00C82F3C"/>
    <w:rsid w:val="00CA1CF2"/>
    <w:rsid w:val="00CC1443"/>
    <w:rsid w:val="00D4764E"/>
    <w:rsid w:val="00D533BB"/>
    <w:rsid w:val="00D737B6"/>
    <w:rsid w:val="00D95AC4"/>
    <w:rsid w:val="00E1500C"/>
    <w:rsid w:val="00E25FB3"/>
    <w:rsid w:val="00EE467E"/>
    <w:rsid w:val="00EF0449"/>
    <w:rsid w:val="00F257FE"/>
    <w:rsid w:val="00F31320"/>
    <w:rsid w:val="00F4011B"/>
    <w:rsid w:val="00F83BEA"/>
    <w:rsid w:val="00F90F9E"/>
    <w:rsid w:val="00FA3F01"/>
    <w:rsid w:val="00FD1EC1"/>
    <w:rsid w:val="00FF0760"/>
    <w:rsid w:val="00FF1659"/>
    <w:rsid w:val="073B20B8"/>
    <w:rsid w:val="0B9E1AAC"/>
    <w:rsid w:val="130409A7"/>
    <w:rsid w:val="46A86BFA"/>
    <w:rsid w:val="51DF3690"/>
    <w:rsid w:val="6A5877E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annotation text"/>
    <w:basedOn w:val="1"/>
    <w:link w:val="12"/>
    <w:uiPriority w:val="0"/>
    <w:pPr>
      <w:jc w:val="left"/>
    </w:p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uiPriority w:val="0"/>
    <w:rPr>
      <w:sz w:val="21"/>
      <w:szCs w:val="21"/>
    </w:rPr>
  </w:style>
  <w:style w:type="paragraph" w:customStyle="1" w:styleId="9">
    <w:name w:val="列出段落1"/>
    <w:basedOn w:val="1"/>
    <w:qFormat/>
    <w:uiPriority w:val="34"/>
    <w:pPr>
      <w:ind w:firstLine="420" w:firstLineChars="200"/>
    </w:pPr>
  </w:style>
  <w:style w:type="character" w:customStyle="1" w:styleId="10">
    <w:name w:val="页眉 Char"/>
    <w:link w:val="5"/>
    <w:uiPriority w:val="99"/>
    <w:rPr>
      <w:sz w:val="18"/>
      <w:szCs w:val="18"/>
    </w:rPr>
  </w:style>
  <w:style w:type="character" w:customStyle="1" w:styleId="11">
    <w:name w:val="页脚 Char"/>
    <w:link w:val="4"/>
    <w:uiPriority w:val="99"/>
    <w:rPr>
      <w:sz w:val="18"/>
      <w:szCs w:val="18"/>
    </w:rPr>
  </w:style>
  <w:style w:type="character" w:customStyle="1" w:styleId="12">
    <w:name w:val="批注文字 Char"/>
    <w:link w:val="2"/>
    <w:uiPriority w:val="0"/>
    <w:rPr>
      <w:rFonts w:ascii="Times New Roman" w:hAnsi="Times New Roman" w:eastAsia="宋体" w:cs="Times New Roman"/>
      <w:szCs w:val="24"/>
    </w:rPr>
  </w:style>
  <w:style w:type="character" w:customStyle="1" w:styleId="13">
    <w:name w:val="批注框文本 Char"/>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737</Words>
  <Characters>4207</Characters>
  <Lines>35</Lines>
  <Paragraphs>9</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2015-01-06T03:13:00Z</dcterms:created>
  <dc:creator>Fang</dc:creator>
  <cp:lastModifiedBy>acer</cp:lastModifiedBy>
  <cp:lastPrinted>2015-06-23T00:33:27Z</cp:lastPrinted>
  <dcterms:modified xsi:type="dcterms:W3CDTF">2015-06-23T00:33:48Z</dcterms:modified>
  <dc:title>材料工程(化)全日制硕士专业学位研究生培养方案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